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38" w:rsidRDefault="00DF6035" w:rsidP="006C14DB">
      <w:pPr>
        <w:jc w:val="left"/>
        <w:rPr>
          <w:rFonts w:ascii="方正小标宋_GBK" w:eastAsia="方正小标宋_GBK" w:hint="eastAsia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附件2</w:t>
      </w:r>
      <w:bookmarkStart w:id="0" w:name="_GoBack"/>
      <w:bookmarkEnd w:id="0"/>
    </w:p>
    <w:p w:rsidR="00553889" w:rsidRDefault="00553889">
      <w:pPr>
        <w:ind w:firstLineChars="2600" w:firstLine="7280"/>
        <w:jc w:val="right"/>
        <w:rPr>
          <w:rFonts w:ascii="方正小标宋_GBK" w:eastAsia="方正小标宋_GBK" w:hAnsiTheme="minorEastAsia" w:cstheme="minorEastAsia"/>
          <w:sz w:val="28"/>
          <w:szCs w:val="28"/>
        </w:rPr>
      </w:pPr>
    </w:p>
    <w:p w:rsidR="00FA4838" w:rsidRDefault="00FA4838">
      <w:pPr>
        <w:ind w:firstLineChars="2600" w:firstLine="7280"/>
        <w:jc w:val="right"/>
        <w:rPr>
          <w:rFonts w:asciiTheme="minorEastAsia" w:hAnsiTheme="minorEastAsia" w:cstheme="minorEastAsia"/>
          <w:sz w:val="28"/>
          <w:szCs w:val="28"/>
        </w:rPr>
      </w:pPr>
    </w:p>
    <w:p w:rsidR="00FA4838" w:rsidRDefault="00FA4838">
      <w:pPr>
        <w:ind w:firstLineChars="2600" w:firstLine="7308"/>
        <w:jc w:val="right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FA4838" w:rsidRDefault="00CE3670">
      <w:pPr>
        <w:ind w:rightChars="-244" w:right="-512"/>
        <w:jc w:val="center"/>
        <w:rPr>
          <w:rFonts w:ascii="方正小标宋_GBK" w:eastAsia="方正小标宋_GBK" w:hAnsi="宋体" w:cs="宋体"/>
          <w:b/>
          <w:bCs/>
          <w:sz w:val="52"/>
          <w:szCs w:val="52"/>
        </w:rPr>
      </w:pPr>
      <w:r>
        <w:rPr>
          <w:rFonts w:ascii="方正小标宋_GBK" w:eastAsia="方正小标宋_GBK" w:hAnsi="宋体" w:cs="宋体" w:hint="eastAsia"/>
          <w:b/>
          <w:bCs/>
          <w:sz w:val="52"/>
          <w:szCs w:val="52"/>
        </w:rPr>
        <w:t>广东省市政工程绿色施工示范项目</w:t>
      </w:r>
    </w:p>
    <w:p w:rsidR="00FA4838" w:rsidRDefault="006C14DB">
      <w:pPr>
        <w:ind w:rightChars="-244" w:right="-512"/>
        <w:jc w:val="center"/>
        <w:rPr>
          <w:rFonts w:ascii="方正小标宋_GBK" w:eastAsia="方正小标宋_GBK" w:hAnsi="宋体" w:cs="宋体"/>
          <w:b/>
          <w:bCs/>
          <w:sz w:val="52"/>
          <w:szCs w:val="52"/>
        </w:rPr>
      </w:pPr>
      <w:r>
        <w:rPr>
          <w:rFonts w:ascii="方正小标宋_GBK" w:eastAsia="方正小标宋_GBK" w:hAnsi="宋体" w:cs="宋体" w:hint="eastAsia"/>
          <w:b/>
          <w:bCs/>
          <w:sz w:val="52"/>
          <w:szCs w:val="52"/>
        </w:rPr>
        <w:t>自评分表</w:t>
      </w:r>
    </w:p>
    <w:p w:rsidR="00FA4838" w:rsidRDefault="00FA4838">
      <w:pPr>
        <w:ind w:rightChars="-244" w:right="-512"/>
        <w:jc w:val="center"/>
        <w:rPr>
          <w:rFonts w:ascii="方正小标宋_GBK" w:eastAsia="方正小标宋_GBK" w:hAnsi="宋体" w:cs="宋体"/>
          <w:b/>
          <w:bCs/>
          <w:sz w:val="52"/>
          <w:szCs w:val="52"/>
        </w:rPr>
      </w:pPr>
    </w:p>
    <w:p w:rsidR="00FA4838" w:rsidRDefault="00CE3670">
      <w:pPr>
        <w:tabs>
          <w:tab w:val="left" w:pos="851"/>
        </w:tabs>
        <w:spacing w:line="840" w:lineRule="auto"/>
        <w:ind w:leftChars="337" w:left="708"/>
        <w:rPr>
          <w:rFonts w:ascii="方正小标宋_GBK" w:eastAsia="方正小标宋_GBK" w:hAnsi="宋体" w:cs="宋体"/>
          <w:sz w:val="36"/>
          <w:szCs w:val="36"/>
          <w:u w:val="single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工程名称：</w:t>
      </w:r>
      <w:r>
        <w:rPr>
          <w:rFonts w:ascii="方正小标宋_GBK" w:eastAsia="方正小标宋_GBK" w:hAnsi="宋体" w:cs="宋体" w:hint="eastAsia"/>
          <w:sz w:val="36"/>
          <w:szCs w:val="36"/>
          <w:u w:val="single"/>
        </w:rPr>
        <w:t xml:space="preserve"> </w:t>
      </w:r>
      <w:r w:rsidR="00DB34FA">
        <w:rPr>
          <w:rFonts w:ascii="方正小标宋_GBK" w:eastAsia="方正小标宋_GBK" w:hAnsi="宋体" w:cs="宋体"/>
          <w:sz w:val="36"/>
          <w:szCs w:val="36"/>
          <w:u w:val="single"/>
        </w:rPr>
        <w:t xml:space="preserve">    </w:t>
      </w:r>
      <w:r w:rsidR="00553889">
        <w:rPr>
          <w:rFonts w:ascii="方正小标宋_GBK" w:eastAsia="方正小标宋_GBK" w:hAnsi="宋体" w:cs="宋体" w:hint="eastAsia"/>
          <w:sz w:val="24"/>
          <w:u w:val="single"/>
        </w:rPr>
        <w:t xml:space="preserve"> </w:t>
      </w:r>
      <w:r w:rsidR="00DB34FA">
        <w:rPr>
          <w:rFonts w:ascii="方正小标宋_GBK" w:eastAsia="方正小标宋_GBK" w:hAnsi="宋体" w:cs="宋体"/>
          <w:sz w:val="24"/>
          <w:u w:val="single"/>
        </w:rPr>
        <w:t xml:space="preserve"> </w:t>
      </w:r>
      <w:r w:rsidR="00553889">
        <w:rPr>
          <w:rFonts w:ascii="方正小标宋_GBK" w:eastAsia="方正小标宋_GBK" w:hAnsi="宋体" w:cs="宋体"/>
          <w:sz w:val="36"/>
          <w:szCs w:val="36"/>
          <w:u w:val="single"/>
        </w:rPr>
        <w:t xml:space="preserve">                       </w:t>
      </w:r>
      <w:r w:rsidR="00DB34FA">
        <w:rPr>
          <w:rFonts w:ascii="方正小标宋_GBK" w:eastAsia="方正小标宋_GBK" w:hAnsi="宋体" w:cs="宋体"/>
          <w:sz w:val="24"/>
          <w:u w:val="single"/>
        </w:rPr>
        <w:t xml:space="preserve">    </w:t>
      </w:r>
      <w:r>
        <w:rPr>
          <w:rFonts w:ascii="方正小标宋_GBK" w:eastAsia="方正小标宋_GBK" w:hAnsi="宋体" w:cs="宋体"/>
          <w:sz w:val="36"/>
          <w:szCs w:val="36"/>
          <w:u w:val="single"/>
        </w:rPr>
        <w:t xml:space="preserve">   </w:t>
      </w:r>
    </w:p>
    <w:p w:rsidR="00FA4838" w:rsidRDefault="00CE3670">
      <w:pPr>
        <w:tabs>
          <w:tab w:val="left" w:pos="851"/>
        </w:tabs>
        <w:spacing w:line="840" w:lineRule="auto"/>
        <w:ind w:leftChars="337" w:left="708"/>
        <w:rPr>
          <w:rFonts w:ascii="方正小标宋_GBK" w:eastAsia="方正小标宋_GBK" w:hAnsi="宋体" w:cs="宋体"/>
          <w:sz w:val="36"/>
          <w:szCs w:val="36"/>
          <w:u w:val="single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申报单位：</w:t>
      </w:r>
      <w:r>
        <w:rPr>
          <w:rFonts w:ascii="方正小标宋_GBK" w:eastAsia="方正小标宋_GBK" w:hAnsi="宋体" w:cs="宋体" w:hint="eastAsia"/>
          <w:sz w:val="36"/>
          <w:szCs w:val="36"/>
          <w:u w:val="single"/>
        </w:rPr>
        <w:t xml:space="preserve"> </w:t>
      </w:r>
      <w:r>
        <w:rPr>
          <w:rFonts w:ascii="方正小标宋_GBK" w:eastAsia="方正小标宋_GBK" w:hAnsi="宋体" w:cs="宋体"/>
          <w:sz w:val="36"/>
          <w:szCs w:val="36"/>
          <w:u w:val="single"/>
        </w:rPr>
        <w:t xml:space="preserve"> </w:t>
      </w:r>
      <w:r w:rsidR="00DB34FA">
        <w:rPr>
          <w:rFonts w:ascii="方正小标宋_GBK" w:eastAsia="方正小标宋_GBK" w:hAnsi="宋体" w:cs="宋体"/>
          <w:sz w:val="36"/>
          <w:szCs w:val="36"/>
          <w:u w:val="single"/>
        </w:rPr>
        <w:t xml:space="preserve"> </w:t>
      </w:r>
      <w:r w:rsidR="00DB34FA" w:rsidRPr="00DB34FA">
        <w:rPr>
          <w:rFonts w:ascii="方正小标宋_GBK" w:eastAsia="方正小标宋_GBK" w:hAnsi="宋体" w:cs="宋体"/>
          <w:sz w:val="24"/>
          <w:u w:val="single"/>
        </w:rPr>
        <w:t xml:space="preserve">        </w:t>
      </w:r>
      <w:r w:rsidR="00553889">
        <w:rPr>
          <w:rFonts w:ascii="方正小标宋_GBK" w:eastAsia="方正小标宋_GBK" w:hAnsi="宋体" w:cs="宋体" w:hint="eastAsia"/>
          <w:sz w:val="24"/>
          <w:u w:val="single"/>
        </w:rPr>
        <w:t xml:space="preserve"> </w:t>
      </w:r>
      <w:r w:rsidR="00553889">
        <w:rPr>
          <w:rFonts w:ascii="方正小标宋_GBK" w:eastAsia="方正小标宋_GBK" w:hAnsi="宋体" w:cs="宋体"/>
          <w:sz w:val="24"/>
          <w:u w:val="single"/>
        </w:rPr>
        <w:t xml:space="preserve">                          </w:t>
      </w:r>
      <w:r w:rsidR="00DB34FA">
        <w:rPr>
          <w:rFonts w:ascii="方正小标宋_GBK" w:eastAsia="方正小标宋_GBK" w:hAnsi="宋体" w:cs="宋体"/>
          <w:sz w:val="24"/>
          <w:u w:val="single"/>
        </w:rPr>
        <w:t xml:space="preserve">          </w:t>
      </w:r>
      <w:r>
        <w:rPr>
          <w:rFonts w:ascii="方正小标宋_GBK" w:eastAsia="方正小标宋_GBK" w:hAnsi="宋体" w:cs="宋体"/>
          <w:sz w:val="36"/>
          <w:szCs w:val="36"/>
          <w:u w:val="single"/>
        </w:rPr>
        <w:t xml:space="preserve">  </w:t>
      </w:r>
    </w:p>
    <w:p w:rsidR="00FA4838" w:rsidRDefault="00553889">
      <w:pPr>
        <w:tabs>
          <w:tab w:val="left" w:pos="851"/>
        </w:tabs>
        <w:spacing w:line="840" w:lineRule="auto"/>
        <w:ind w:leftChars="337" w:left="708"/>
        <w:rPr>
          <w:rFonts w:ascii="方正小标宋_GBK" w:eastAsia="方正小标宋_GBK" w:hAnsi="宋体" w:cs="宋体"/>
          <w:sz w:val="36"/>
          <w:szCs w:val="36"/>
          <w:u w:val="single"/>
        </w:rPr>
      </w:pPr>
      <w:r>
        <w:rPr>
          <w:rFonts w:ascii="方正小标宋_GBK" w:eastAsia="方正小标宋_GBK" w:hAnsi="宋体" w:cs="宋体" w:hint="eastAsia"/>
          <w:sz w:val="36"/>
          <w:szCs w:val="36"/>
        </w:rPr>
        <w:t>自评</w:t>
      </w:r>
      <w:r w:rsidR="00CE3670">
        <w:rPr>
          <w:rFonts w:ascii="方正小标宋_GBK" w:eastAsia="方正小标宋_GBK" w:hAnsi="宋体" w:cs="宋体" w:hint="eastAsia"/>
          <w:sz w:val="36"/>
          <w:szCs w:val="36"/>
        </w:rPr>
        <w:t>得分：</w:t>
      </w:r>
      <w:r w:rsidR="00CE3670">
        <w:rPr>
          <w:rFonts w:ascii="方正小标宋_GBK" w:eastAsia="方正小标宋_GBK" w:hAnsi="宋体" w:cs="宋体" w:hint="eastAsia"/>
          <w:sz w:val="36"/>
          <w:szCs w:val="36"/>
          <w:u w:val="single"/>
        </w:rPr>
        <w:t xml:space="preserve"> </w:t>
      </w:r>
      <w:r w:rsidR="00CE3670">
        <w:rPr>
          <w:rFonts w:ascii="方正小标宋_GBK" w:eastAsia="方正小标宋_GBK" w:hAnsi="宋体" w:cs="宋体"/>
          <w:sz w:val="36"/>
          <w:szCs w:val="36"/>
          <w:u w:val="single"/>
        </w:rPr>
        <w:t xml:space="preserve">                                  </w:t>
      </w:r>
    </w:p>
    <w:p w:rsidR="00FA4838" w:rsidRDefault="00FA4838">
      <w:pPr>
        <w:rPr>
          <w:rFonts w:ascii="方正小标宋_GBK" w:eastAsia="方正小标宋_GBK" w:hAnsi="宋体" w:cs="宋体"/>
          <w:sz w:val="36"/>
          <w:szCs w:val="36"/>
        </w:rPr>
      </w:pPr>
    </w:p>
    <w:p w:rsidR="00553889" w:rsidRDefault="00553889">
      <w:pPr>
        <w:rPr>
          <w:rFonts w:ascii="方正小标宋_GBK" w:eastAsia="方正小标宋_GBK" w:hAnsi="宋体" w:cs="宋体"/>
          <w:sz w:val="36"/>
          <w:szCs w:val="36"/>
        </w:rPr>
      </w:pPr>
    </w:p>
    <w:p w:rsidR="00553889" w:rsidRDefault="00553889">
      <w:pPr>
        <w:rPr>
          <w:rFonts w:ascii="方正小标宋_GBK" w:eastAsia="方正小标宋_GBK" w:hAnsi="宋体" w:cs="宋体"/>
          <w:sz w:val="36"/>
          <w:szCs w:val="36"/>
        </w:rPr>
      </w:pPr>
    </w:p>
    <w:p w:rsidR="00553889" w:rsidRDefault="00553889">
      <w:pPr>
        <w:rPr>
          <w:rFonts w:ascii="方正小标宋_GBK" w:eastAsia="方正小标宋_GBK" w:hAnsi="宋体" w:cs="宋体"/>
          <w:sz w:val="36"/>
          <w:szCs w:val="36"/>
        </w:rPr>
      </w:pPr>
    </w:p>
    <w:p w:rsidR="00553889" w:rsidRDefault="00553889">
      <w:pPr>
        <w:rPr>
          <w:rFonts w:ascii="方正小标宋_GBK" w:eastAsia="方正小标宋_GBK" w:hAnsi="宋体" w:cs="宋体"/>
          <w:sz w:val="36"/>
          <w:szCs w:val="36"/>
        </w:rPr>
      </w:pPr>
    </w:p>
    <w:p w:rsidR="00553889" w:rsidRDefault="00553889">
      <w:pPr>
        <w:rPr>
          <w:rFonts w:ascii="方正小标宋_GBK" w:eastAsia="方正小标宋_GBK" w:hAnsi="宋体" w:cs="宋体"/>
          <w:sz w:val="36"/>
          <w:szCs w:val="36"/>
        </w:rPr>
      </w:pPr>
    </w:p>
    <w:p w:rsidR="00553889" w:rsidRDefault="00553889">
      <w:pPr>
        <w:rPr>
          <w:rFonts w:ascii="方正小标宋_GBK" w:eastAsia="方正小标宋_GBK" w:hAnsi="华文中宋" w:cs="华文中宋"/>
          <w:sz w:val="44"/>
          <w:szCs w:val="44"/>
        </w:rPr>
      </w:pPr>
    </w:p>
    <w:p w:rsidR="00FA4838" w:rsidRDefault="00CE3670">
      <w:pPr>
        <w:ind w:firstLineChars="300" w:firstLine="840"/>
        <w:jc w:val="center"/>
        <w:rPr>
          <w:rFonts w:ascii="方正小标宋_GBK" w:eastAsia="方正小标宋_GBK" w:hAnsi="华文中宋" w:cs="华文中宋"/>
          <w:sz w:val="28"/>
          <w:szCs w:val="28"/>
        </w:rPr>
      </w:pPr>
      <w:r>
        <w:rPr>
          <w:rFonts w:ascii="方正小标宋_GBK" w:eastAsia="方正小标宋_GBK" w:hAnsi="华文中宋" w:cs="华文中宋" w:hint="eastAsia"/>
          <w:sz w:val="28"/>
          <w:szCs w:val="28"/>
        </w:rPr>
        <w:t>广东省市政行业协会制</w:t>
      </w:r>
    </w:p>
    <w:p w:rsidR="00FA4838" w:rsidRDefault="00CE3670">
      <w:pPr>
        <w:widowControl/>
        <w:jc w:val="left"/>
        <w:rPr>
          <w:rFonts w:ascii="方正小标宋_GBK" w:eastAsia="方正小标宋_GBK" w:hAnsi="华文中宋" w:cs="华文中宋"/>
          <w:sz w:val="28"/>
          <w:szCs w:val="28"/>
        </w:rPr>
      </w:pPr>
      <w:r>
        <w:rPr>
          <w:rFonts w:ascii="方正小标宋_GBK" w:eastAsia="方正小标宋_GBK" w:hAnsi="华文中宋" w:cs="华文中宋"/>
          <w:sz w:val="28"/>
          <w:szCs w:val="28"/>
        </w:rPr>
        <w:br w:type="page"/>
      </w:r>
    </w:p>
    <w:p w:rsidR="00553889" w:rsidRDefault="00050EA9" w:rsidP="00553889">
      <w:pPr>
        <w:pStyle w:val="ab"/>
        <w:rPr>
          <w:rFonts w:ascii="方正小标宋_GBK" w:eastAsia="方正小标宋_GBK"/>
        </w:rPr>
      </w:pPr>
      <w:r w:rsidRPr="00050EA9">
        <w:rPr>
          <w:rFonts w:ascii="方正小标宋_GBK" w:eastAsia="方正小标宋_GBK" w:hint="eastAsia"/>
        </w:rPr>
        <w:lastRenderedPageBreak/>
        <w:t>绿色施工管理评价</w:t>
      </w:r>
      <w:r>
        <w:rPr>
          <w:rFonts w:ascii="方正小标宋_GBK" w:eastAsia="方正小标宋_GBK" w:hint="eastAsia"/>
        </w:rPr>
        <w:t>自评得</w:t>
      </w:r>
      <w:r w:rsidRPr="00050EA9">
        <w:rPr>
          <w:rFonts w:ascii="方正小标宋_GBK" w:eastAsia="方正小标宋_GBK" w:hint="eastAsia"/>
        </w:rPr>
        <w:t>分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0"/>
        <w:gridCol w:w="1906"/>
        <w:gridCol w:w="1472"/>
        <w:gridCol w:w="1386"/>
        <w:gridCol w:w="1428"/>
        <w:gridCol w:w="1265"/>
        <w:gridCol w:w="9"/>
      </w:tblGrid>
      <w:tr w:rsidR="00050EA9" w:rsidRPr="00471FD0" w:rsidTr="00050EA9">
        <w:trPr>
          <w:gridAfter w:val="1"/>
          <w:wAfter w:w="9" w:type="dxa"/>
          <w:trHeight w:val="317"/>
        </w:trPr>
        <w:tc>
          <w:tcPr>
            <w:tcW w:w="1550" w:type="dxa"/>
            <w:vMerge w:val="restart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06" w:type="dxa"/>
            <w:vMerge w:val="restart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评价要素</w:t>
            </w:r>
          </w:p>
        </w:tc>
        <w:tc>
          <w:tcPr>
            <w:tcW w:w="5551" w:type="dxa"/>
            <w:gridSpan w:val="4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评价结果</w:t>
            </w:r>
          </w:p>
        </w:tc>
      </w:tr>
      <w:tr w:rsidR="00050EA9" w:rsidRPr="00471FD0" w:rsidTr="00050EA9">
        <w:trPr>
          <w:gridAfter w:val="1"/>
          <w:wAfter w:w="9" w:type="dxa"/>
          <w:trHeight w:val="613"/>
        </w:trPr>
        <w:tc>
          <w:tcPr>
            <w:tcW w:w="1550" w:type="dxa"/>
            <w:vMerge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6" w:type="dxa"/>
            <w:vMerge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一般项</w:t>
            </w:r>
          </w:p>
        </w:tc>
        <w:tc>
          <w:tcPr>
            <w:tcW w:w="138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优选项</w:t>
            </w:r>
          </w:p>
        </w:tc>
        <w:tc>
          <w:tcPr>
            <w:tcW w:w="1428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总分权重系数</w:t>
            </w:r>
          </w:p>
        </w:tc>
        <w:tc>
          <w:tcPr>
            <w:tcW w:w="1265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得</w:t>
            </w:r>
            <w:r w:rsidRPr="00471FD0"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050EA9" w:rsidRPr="00471FD0" w:rsidTr="00050EA9">
        <w:trPr>
          <w:gridAfter w:val="1"/>
          <w:wAfter w:w="9" w:type="dxa"/>
          <w:trHeight w:val="836"/>
        </w:trPr>
        <w:tc>
          <w:tcPr>
            <w:tcW w:w="1550" w:type="dxa"/>
            <w:vAlign w:val="center"/>
          </w:tcPr>
          <w:p w:rsidR="00050EA9" w:rsidRPr="00471FD0" w:rsidRDefault="00050EA9" w:rsidP="00471FD0">
            <w:pPr>
              <w:jc w:val="center"/>
              <w:outlineLvl w:val="0"/>
              <w:rPr>
                <w:rFonts w:ascii="仿宋" w:eastAsia="仿宋" w:hAnsi="仿宋" w:cs="华文中宋"/>
                <w:sz w:val="24"/>
              </w:rPr>
            </w:pPr>
            <w:proofErr w:type="gramStart"/>
            <w:r w:rsidRPr="00471FD0">
              <w:rPr>
                <w:rFonts w:ascii="仿宋" w:eastAsia="仿宋" w:hAnsi="仿宋" w:cs="华文中宋"/>
                <w:sz w:val="24"/>
              </w:rPr>
              <w:t>NO:GDSZ</w:t>
            </w:r>
            <w:proofErr w:type="gramEnd"/>
            <w:r w:rsidRPr="00471FD0">
              <w:rPr>
                <w:rFonts w:ascii="仿宋" w:eastAsia="仿宋" w:hAnsi="仿宋" w:cs="华文中宋"/>
                <w:sz w:val="24"/>
              </w:rPr>
              <w:t>-1</w:t>
            </w:r>
          </w:p>
        </w:tc>
        <w:tc>
          <w:tcPr>
            <w:tcW w:w="190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绿色施工管理</w:t>
            </w:r>
          </w:p>
        </w:tc>
        <w:tc>
          <w:tcPr>
            <w:tcW w:w="1472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0</w:t>
            </w:r>
            <w:r w:rsidRPr="00471FD0">
              <w:rPr>
                <w:rFonts w:ascii="仿宋" w:eastAsia="仿宋" w:hAnsi="仿宋"/>
                <w:sz w:val="24"/>
              </w:rPr>
              <w:t>.1</w:t>
            </w:r>
          </w:p>
        </w:tc>
        <w:tc>
          <w:tcPr>
            <w:tcW w:w="1265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0EA9" w:rsidRPr="00471FD0" w:rsidTr="00050EA9">
        <w:trPr>
          <w:gridAfter w:val="1"/>
          <w:wAfter w:w="9" w:type="dxa"/>
          <w:trHeight w:val="836"/>
        </w:trPr>
        <w:tc>
          <w:tcPr>
            <w:tcW w:w="1550" w:type="dxa"/>
            <w:vAlign w:val="center"/>
          </w:tcPr>
          <w:p w:rsidR="00050EA9" w:rsidRPr="00471FD0" w:rsidRDefault="00050EA9" w:rsidP="00471FD0">
            <w:pPr>
              <w:jc w:val="center"/>
              <w:outlineLvl w:val="0"/>
              <w:rPr>
                <w:rFonts w:ascii="仿宋" w:eastAsia="仿宋" w:hAnsi="仿宋" w:cs="华文中宋"/>
                <w:sz w:val="24"/>
              </w:rPr>
            </w:pPr>
            <w:proofErr w:type="gramStart"/>
            <w:r w:rsidRPr="00471FD0">
              <w:rPr>
                <w:rFonts w:ascii="仿宋" w:eastAsia="仿宋" w:hAnsi="仿宋" w:cs="华文中宋"/>
                <w:sz w:val="24"/>
              </w:rPr>
              <w:t>NO:GDSZ</w:t>
            </w:r>
            <w:proofErr w:type="gramEnd"/>
            <w:r w:rsidRPr="00471FD0">
              <w:rPr>
                <w:rFonts w:ascii="仿宋" w:eastAsia="仿宋" w:hAnsi="仿宋" w:cs="华文中宋"/>
                <w:sz w:val="24"/>
              </w:rPr>
              <w:t>-2</w:t>
            </w:r>
          </w:p>
        </w:tc>
        <w:tc>
          <w:tcPr>
            <w:tcW w:w="190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环境保护</w:t>
            </w:r>
          </w:p>
        </w:tc>
        <w:tc>
          <w:tcPr>
            <w:tcW w:w="1472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0</w:t>
            </w:r>
            <w:r w:rsidRPr="00471FD0">
              <w:rPr>
                <w:rFonts w:ascii="仿宋" w:eastAsia="仿宋" w:hAnsi="仿宋"/>
                <w:sz w:val="24"/>
              </w:rPr>
              <w:t>.18</w:t>
            </w:r>
          </w:p>
        </w:tc>
        <w:tc>
          <w:tcPr>
            <w:tcW w:w="1265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0EA9" w:rsidRPr="00471FD0" w:rsidTr="00050EA9">
        <w:trPr>
          <w:gridAfter w:val="1"/>
          <w:wAfter w:w="9" w:type="dxa"/>
          <w:trHeight w:val="836"/>
        </w:trPr>
        <w:tc>
          <w:tcPr>
            <w:tcW w:w="1550" w:type="dxa"/>
            <w:vAlign w:val="center"/>
          </w:tcPr>
          <w:p w:rsidR="00050EA9" w:rsidRPr="00471FD0" w:rsidRDefault="00050EA9" w:rsidP="00471FD0">
            <w:pPr>
              <w:jc w:val="center"/>
              <w:outlineLvl w:val="0"/>
              <w:rPr>
                <w:rFonts w:ascii="仿宋" w:eastAsia="仿宋" w:hAnsi="仿宋" w:cs="华文中宋"/>
                <w:sz w:val="24"/>
              </w:rPr>
            </w:pPr>
            <w:proofErr w:type="gramStart"/>
            <w:r w:rsidRPr="00471FD0">
              <w:rPr>
                <w:rFonts w:ascii="仿宋" w:eastAsia="仿宋" w:hAnsi="仿宋" w:cs="华文中宋"/>
                <w:sz w:val="24"/>
              </w:rPr>
              <w:t>NO:GDSZ</w:t>
            </w:r>
            <w:proofErr w:type="gramEnd"/>
            <w:r w:rsidRPr="00471FD0">
              <w:rPr>
                <w:rFonts w:ascii="仿宋" w:eastAsia="仿宋" w:hAnsi="仿宋" w:cs="华文中宋"/>
                <w:sz w:val="24"/>
              </w:rPr>
              <w:t>-3</w:t>
            </w:r>
          </w:p>
        </w:tc>
        <w:tc>
          <w:tcPr>
            <w:tcW w:w="190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节材与材料资源利用</w:t>
            </w:r>
          </w:p>
        </w:tc>
        <w:tc>
          <w:tcPr>
            <w:tcW w:w="1472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0</w:t>
            </w:r>
            <w:r w:rsidRPr="00471FD0">
              <w:rPr>
                <w:rFonts w:ascii="仿宋" w:eastAsia="仿宋" w:hAnsi="仿宋"/>
                <w:sz w:val="24"/>
              </w:rPr>
              <w:t>.18</w:t>
            </w:r>
          </w:p>
        </w:tc>
        <w:tc>
          <w:tcPr>
            <w:tcW w:w="1265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0EA9" w:rsidRPr="00471FD0" w:rsidTr="00050EA9">
        <w:trPr>
          <w:gridAfter w:val="1"/>
          <w:wAfter w:w="9" w:type="dxa"/>
          <w:trHeight w:val="836"/>
        </w:trPr>
        <w:tc>
          <w:tcPr>
            <w:tcW w:w="1550" w:type="dxa"/>
            <w:vAlign w:val="center"/>
          </w:tcPr>
          <w:p w:rsidR="00050EA9" w:rsidRPr="00471FD0" w:rsidRDefault="00050EA9" w:rsidP="00471FD0">
            <w:pPr>
              <w:jc w:val="center"/>
              <w:outlineLvl w:val="0"/>
              <w:rPr>
                <w:rFonts w:ascii="仿宋" w:eastAsia="仿宋" w:hAnsi="仿宋" w:cs="华文中宋"/>
                <w:sz w:val="24"/>
              </w:rPr>
            </w:pPr>
            <w:proofErr w:type="gramStart"/>
            <w:r w:rsidRPr="00471FD0">
              <w:rPr>
                <w:rFonts w:ascii="仿宋" w:eastAsia="仿宋" w:hAnsi="仿宋" w:cs="华文中宋"/>
                <w:sz w:val="24"/>
              </w:rPr>
              <w:t>NO:GDSZ</w:t>
            </w:r>
            <w:proofErr w:type="gramEnd"/>
            <w:r w:rsidRPr="00471FD0">
              <w:rPr>
                <w:rFonts w:ascii="仿宋" w:eastAsia="仿宋" w:hAnsi="仿宋" w:cs="华文中宋"/>
                <w:sz w:val="24"/>
              </w:rPr>
              <w:t>-4</w:t>
            </w:r>
          </w:p>
        </w:tc>
        <w:tc>
          <w:tcPr>
            <w:tcW w:w="190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节水与水资源利用</w:t>
            </w:r>
          </w:p>
        </w:tc>
        <w:tc>
          <w:tcPr>
            <w:tcW w:w="1472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0</w:t>
            </w:r>
            <w:r w:rsidRPr="00471FD0">
              <w:rPr>
                <w:rFonts w:ascii="仿宋" w:eastAsia="仿宋" w:hAnsi="仿宋"/>
                <w:sz w:val="24"/>
              </w:rPr>
              <w:t>.18</w:t>
            </w:r>
          </w:p>
        </w:tc>
        <w:tc>
          <w:tcPr>
            <w:tcW w:w="1265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0EA9" w:rsidRPr="00471FD0" w:rsidTr="00050EA9">
        <w:trPr>
          <w:gridAfter w:val="1"/>
          <w:wAfter w:w="9" w:type="dxa"/>
          <w:trHeight w:val="836"/>
        </w:trPr>
        <w:tc>
          <w:tcPr>
            <w:tcW w:w="1550" w:type="dxa"/>
            <w:vAlign w:val="center"/>
          </w:tcPr>
          <w:p w:rsidR="00050EA9" w:rsidRPr="00471FD0" w:rsidRDefault="00050EA9" w:rsidP="00471FD0">
            <w:pPr>
              <w:jc w:val="center"/>
              <w:outlineLvl w:val="0"/>
              <w:rPr>
                <w:rFonts w:ascii="仿宋" w:eastAsia="仿宋" w:hAnsi="仿宋" w:cs="华文中宋"/>
                <w:sz w:val="24"/>
              </w:rPr>
            </w:pPr>
            <w:proofErr w:type="gramStart"/>
            <w:r w:rsidRPr="00471FD0">
              <w:rPr>
                <w:rFonts w:ascii="仿宋" w:eastAsia="仿宋" w:hAnsi="仿宋" w:cs="华文中宋"/>
                <w:sz w:val="24"/>
              </w:rPr>
              <w:t>NO:GDSZ</w:t>
            </w:r>
            <w:proofErr w:type="gramEnd"/>
            <w:r w:rsidRPr="00471FD0">
              <w:rPr>
                <w:rFonts w:ascii="仿宋" w:eastAsia="仿宋" w:hAnsi="仿宋" w:cs="华文中宋"/>
                <w:sz w:val="24"/>
              </w:rPr>
              <w:t>-5</w:t>
            </w:r>
          </w:p>
        </w:tc>
        <w:tc>
          <w:tcPr>
            <w:tcW w:w="190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节能与能源利用</w:t>
            </w:r>
          </w:p>
        </w:tc>
        <w:tc>
          <w:tcPr>
            <w:tcW w:w="1472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0</w:t>
            </w:r>
            <w:r w:rsidRPr="00471FD0">
              <w:rPr>
                <w:rFonts w:ascii="仿宋" w:eastAsia="仿宋" w:hAnsi="仿宋"/>
                <w:sz w:val="24"/>
              </w:rPr>
              <w:t>.18</w:t>
            </w:r>
          </w:p>
        </w:tc>
        <w:tc>
          <w:tcPr>
            <w:tcW w:w="1265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0EA9" w:rsidRPr="00471FD0" w:rsidTr="00050EA9">
        <w:trPr>
          <w:gridAfter w:val="1"/>
          <w:wAfter w:w="9" w:type="dxa"/>
          <w:trHeight w:val="836"/>
        </w:trPr>
        <w:tc>
          <w:tcPr>
            <w:tcW w:w="1550" w:type="dxa"/>
            <w:vAlign w:val="center"/>
          </w:tcPr>
          <w:p w:rsidR="00050EA9" w:rsidRPr="00471FD0" w:rsidRDefault="00050EA9" w:rsidP="00471FD0">
            <w:pPr>
              <w:jc w:val="center"/>
              <w:outlineLvl w:val="0"/>
              <w:rPr>
                <w:rFonts w:ascii="仿宋" w:eastAsia="仿宋" w:hAnsi="仿宋" w:cs="华文中宋"/>
                <w:sz w:val="24"/>
              </w:rPr>
            </w:pPr>
            <w:proofErr w:type="gramStart"/>
            <w:r w:rsidRPr="00471FD0">
              <w:rPr>
                <w:rFonts w:ascii="仿宋" w:eastAsia="仿宋" w:hAnsi="仿宋" w:cs="华文中宋"/>
                <w:sz w:val="24"/>
              </w:rPr>
              <w:t>NO:GDSZ</w:t>
            </w:r>
            <w:proofErr w:type="gramEnd"/>
            <w:r w:rsidRPr="00471FD0">
              <w:rPr>
                <w:rFonts w:ascii="仿宋" w:eastAsia="仿宋" w:hAnsi="仿宋" w:cs="华文中宋"/>
                <w:sz w:val="24"/>
              </w:rPr>
              <w:t>-6</w:t>
            </w:r>
          </w:p>
        </w:tc>
        <w:tc>
          <w:tcPr>
            <w:tcW w:w="190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节地与土地资源保护</w:t>
            </w:r>
          </w:p>
        </w:tc>
        <w:tc>
          <w:tcPr>
            <w:tcW w:w="1472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  <w:r w:rsidRPr="00471FD0">
              <w:rPr>
                <w:rFonts w:ascii="仿宋" w:eastAsia="仿宋" w:hAnsi="仿宋" w:hint="eastAsia"/>
                <w:sz w:val="24"/>
              </w:rPr>
              <w:t>0</w:t>
            </w:r>
            <w:r w:rsidRPr="00471FD0">
              <w:rPr>
                <w:rFonts w:ascii="仿宋" w:eastAsia="仿宋" w:hAnsi="仿宋"/>
                <w:sz w:val="24"/>
              </w:rPr>
              <w:t>.18</w:t>
            </w:r>
          </w:p>
        </w:tc>
        <w:tc>
          <w:tcPr>
            <w:tcW w:w="1265" w:type="dxa"/>
            <w:vAlign w:val="center"/>
          </w:tcPr>
          <w:p w:rsidR="00050EA9" w:rsidRPr="00471FD0" w:rsidRDefault="00050EA9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34F0" w:rsidRPr="00471FD0" w:rsidTr="00050EA9">
        <w:trPr>
          <w:trHeight w:val="836"/>
        </w:trPr>
        <w:tc>
          <w:tcPr>
            <w:tcW w:w="3456" w:type="dxa"/>
            <w:gridSpan w:val="2"/>
            <w:vAlign w:val="center"/>
          </w:tcPr>
          <w:p w:rsidR="001D34F0" w:rsidRPr="001D34F0" w:rsidRDefault="001D34F0" w:rsidP="00471FD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D34F0">
              <w:rPr>
                <w:rFonts w:ascii="仿宋" w:eastAsia="仿宋" w:hAnsi="仿宋" w:cs="华文中宋" w:hint="eastAsia"/>
                <w:b/>
                <w:bCs/>
                <w:sz w:val="24"/>
              </w:rPr>
              <w:t>总分</w:t>
            </w:r>
          </w:p>
        </w:tc>
        <w:tc>
          <w:tcPr>
            <w:tcW w:w="5560" w:type="dxa"/>
            <w:gridSpan w:val="5"/>
            <w:vAlign w:val="center"/>
          </w:tcPr>
          <w:p w:rsidR="001D34F0" w:rsidRPr="00471FD0" w:rsidRDefault="001D34F0" w:rsidP="00471FD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53889" w:rsidRPr="00553889" w:rsidRDefault="00553889" w:rsidP="00553889"/>
    <w:p w:rsidR="00553889" w:rsidRDefault="00553889" w:rsidP="002B420B">
      <w:pPr>
        <w:widowControl/>
        <w:spacing w:line="500" w:lineRule="exact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>注：1</w:t>
      </w:r>
      <w:r>
        <w:rPr>
          <w:rFonts w:ascii="华文中宋" w:eastAsia="华文中宋" w:hAnsi="华文中宋" w:cs="华文中宋"/>
          <w:sz w:val="22"/>
          <w:szCs w:val="22"/>
        </w:rPr>
        <w:t>.</w:t>
      </w:r>
      <w:r>
        <w:rPr>
          <w:rFonts w:ascii="华文中宋" w:eastAsia="华文中宋" w:hAnsi="华文中宋" w:cs="华文中宋" w:hint="eastAsia"/>
          <w:sz w:val="22"/>
          <w:szCs w:val="22"/>
        </w:rPr>
        <w:t>请如实根据项目情况填写自评分表</w:t>
      </w:r>
    </w:p>
    <w:p w:rsidR="00553889" w:rsidRDefault="00553889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/>
          <w:sz w:val="22"/>
          <w:szCs w:val="22"/>
        </w:rPr>
        <w:t>2.</w:t>
      </w:r>
      <w:r>
        <w:rPr>
          <w:rFonts w:ascii="华文中宋" w:eastAsia="华文中宋" w:hAnsi="华文中宋" w:cs="华文中宋" w:hint="eastAsia"/>
          <w:sz w:val="22"/>
          <w:szCs w:val="22"/>
        </w:rPr>
        <w:t>控制项请填写</w:t>
      </w:r>
      <w:r w:rsidRPr="001D34F0">
        <w:rPr>
          <w:rFonts w:ascii="华文中宋" w:eastAsia="华文中宋" w:hAnsi="华文中宋" w:cs="华文中宋" w:hint="eastAsia"/>
          <w:sz w:val="22"/>
          <w:szCs w:val="22"/>
          <w:highlight w:val="yellow"/>
        </w:rPr>
        <w:t>是否符合要求</w:t>
      </w:r>
    </w:p>
    <w:p w:rsidR="00553889" w:rsidRDefault="00553889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/>
          <w:sz w:val="22"/>
          <w:szCs w:val="22"/>
        </w:rPr>
        <w:t>3.</w:t>
      </w:r>
      <w:r w:rsidR="00F40F24">
        <w:rPr>
          <w:rFonts w:ascii="华文中宋" w:eastAsia="华文中宋" w:hAnsi="华文中宋" w:cs="华文中宋" w:hint="eastAsia"/>
          <w:sz w:val="22"/>
          <w:szCs w:val="22"/>
        </w:rPr>
        <w:t>一般项计分标准：（1）措施到位，完全满足考评指标要求，得5分；</w:t>
      </w:r>
    </w:p>
    <w:p w:rsidR="00F40F24" w:rsidRDefault="00F40F24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 xml:space="preserve"> </w:t>
      </w:r>
      <w:r>
        <w:rPr>
          <w:rFonts w:ascii="华文中宋" w:eastAsia="华文中宋" w:hAnsi="华文中宋" w:cs="华文中宋"/>
          <w:sz w:val="22"/>
          <w:szCs w:val="22"/>
        </w:rPr>
        <w:t xml:space="preserve">                 </w:t>
      </w:r>
      <w:r>
        <w:rPr>
          <w:rFonts w:ascii="华文中宋" w:eastAsia="华文中宋" w:hAnsi="华文中宋" w:cs="华文中宋" w:hint="eastAsia"/>
          <w:sz w:val="22"/>
          <w:szCs w:val="22"/>
        </w:rPr>
        <w:t>（2）措施基本到位，较好地满足考评指标要求，得3分或4分；</w:t>
      </w:r>
    </w:p>
    <w:p w:rsidR="00F40F24" w:rsidRDefault="00F40F24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 xml:space="preserve"> </w:t>
      </w:r>
      <w:r>
        <w:rPr>
          <w:rFonts w:ascii="华文中宋" w:eastAsia="华文中宋" w:hAnsi="华文中宋" w:cs="华文中宋"/>
          <w:sz w:val="22"/>
          <w:szCs w:val="22"/>
        </w:rPr>
        <w:t xml:space="preserve">                 </w:t>
      </w:r>
      <w:r>
        <w:rPr>
          <w:rFonts w:ascii="华文中宋" w:eastAsia="华文中宋" w:hAnsi="华文中宋" w:cs="华文中宋" w:hint="eastAsia"/>
          <w:sz w:val="22"/>
          <w:szCs w:val="22"/>
        </w:rPr>
        <w:t>（3）措施部分满足考评要求，得1分或2分；</w:t>
      </w:r>
    </w:p>
    <w:p w:rsidR="00F40F24" w:rsidRDefault="00F40F24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 xml:space="preserve"> </w:t>
      </w:r>
      <w:r>
        <w:rPr>
          <w:rFonts w:ascii="华文中宋" w:eastAsia="华文中宋" w:hAnsi="华文中宋" w:cs="华文中宋"/>
          <w:sz w:val="22"/>
          <w:szCs w:val="22"/>
        </w:rPr>
        <w:t xml:space="preserve">                 </w:t>
      </w:r>
      <w:r>
        <w:rPr>
          <w:rFonts w:ascii="华文中宋" w:eastAsia="华文中宋" w:hAnsi="华文中宋" w:cs="华文中宋" w:hint="eastAsia"/>
          <w:sz w:val="22"/>
          <w:szCs w:val="22"/>
        </w:rPr>
        <w:t>（4）措施不到位，不满足考评指标要求，得0分；</w:t>
      </w:r>
    </w:p>
    <w:p w:rsidR="00F40F24" w:rsidRDefault="00F40F24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 xml:space="preserve"> </w:t>
      </w:r>
      <w:r>
        <w:rPr>
          <w:rFonts w:ascii="华文中宋" w:eastAsia="华文中宋" w:hAnsi="华文中宋" w:cs="华文中宋"/>
          <w:sz w:val="22"/>
          <w:szCs w:val="22"/>
        </w:rPr>
        <w:t xml:space="preserve">                 </w:t>
      </w:r>
      <w:r>
        <w:rPr>
          <w:rFonts w:ascii="华文中宋" w:eastAsia="华文中宋" w:hAnsi="华文中宋" w:cs="华文中宋" w:hint="eastAsia"/>
          <w:sz w:val="22"/>
          <w:szCs w:val="22"/>
        </w:rPr>
        <w:t>（5）项目未涉及或不适用于该工程，请打“/”。</w:t>
      </w:r>
    </w:p>
    <w:p w:rsidR="003E258C" w:rsidRDefault="003E258C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>4</w:t>
      </w:r>
      <w:r>
        <w:rPr>
          <w:rFonts w:ascii="华文中宋" w:eastAsia="华文中宋" w:hAnsi="华文中宋" w:cs="华文中宋"/>
          <w:sz w:val="22"/>
          <w:szCs w:val="22"/>
        </w:rPr>
        <w:t>.</w:t>
      </w:r>
      <w:r>
        <w:rPr>
          <w:rFonts w:ascii="华文中宋" w:eastAsia="华文中宋" w:hAnsi="华文中宋" w:cs="华文中宋" w:hint="eastAsia"/>
          <w:sz w:val="22"/>
          <w:szCs w:val="22"/>
        </w:rPr>
        <w:t>一般项计分公式：一般项得分=1</w:t>
      </w:r>
      <w:r>
        <w:rPr>
          <w:rFonts w:ascii="华文中宋" w:eastAsia="华文中宋" w:hAnsi="华文中宋" w:cs="华文中宋"/>
          <w:sz w:val="22"/>
          <w:szCs w:val="22"/>
        </w:rPr>
        <w:t>00*</w:t>
      </w:r>
      <w:r>
        <w:rPr>
          <w:rFonts w:ascii="华文中宋" w:eastAsia="华文中宋" w:hAnsi="华文中宋" w:cs="华文中宋" w:hint="eastAsia"/>
          <w:sz w:val="22"/>
          <w:szCs w:val="22"/>
        </w:rPr>
        <w:t>应得分总分/实得分总分</w:t>
      </w:r>
    </w:p>
    <w:p w:rsidR="00F40F24" w:rsidRDefault="003E258C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/>
          <w:sz w:val="22"/>
          <w:szCs w:val="22"/>
        </w:rPr>
        <w:t>5</w:t>
      </w:r>
      <w:r w:rsidR="00F40F24">
        <w:rPr>
          <w:rFonts w:ascii="华文中宋" w:eastAsia="华文中宋" w:hAnsi="华文中宋" w:cs="华文中宋"/>
          <w:sz w:val="22"/>
          <w:szCs w:val="22"/>
        </w:rPr>
        <w:t>.</w:t>
      </w:r>
      <w:r w:rsidR="00F40F24">
        <w:rPr>
          <w:rFonts w:ascii="华文中宋" w:eastAsia="华文中宋" w:hAnsi="华文中宋" w:cs="华文中宋" w:hint="eastAsia"/>
          <w:sz w:val="22"/>
          <w:szCs w:val="22"/>
        </w:rPr>
        <w:t>优选项加分标准：（1）措施到位，满足考评指标要求，得2分；</w:t>
      </w:r>
    </w:p>
    <w:p w:rsidR="00F40F24" w:rsidRDefault="00F40F24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 xml:space="preserve"> </w:t>
      </w:r>
      <w:r>
        <w:rPr>
          <w:rFonts w:ascii="华文中宋" w:eastAsia="华文中宋" w:hAnsi="华文中宋" w:cs="华文中宋"/>
          <w:sz w:val="22"/>
          <w:szCs w:val="22"/>
        </w:rPr>
        <w:t xml:space="preserve">                 </w:t>
      </w:r>
      <w:r>
        <w:rPr>
          <w:rFonts w:ascii="华文中宋" w:eastAsia="华文中宋" w:hAnsi="华文中宋" w:cs="华文中宋" w:hint="eastAsia"/>
          <w:sz w:val="22"/>
          <w:szCs w:val="22"/>
        </w:rPr>
        <w:t>（2）措施基本到位，较好地满足考评指标要求，得1分；</w:t>
      </w:r>
    </w:p>
    <w:p w:rsidR="00F40F24" w:rsidRDefault="00F40F24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 xml:space="preserve"> </w:t>
      </w:r>
      <w:r>
        <w:rPr>
          <w:rFonts w:ascii="华文中宋" w:eastAsia="华文中宋" w:hAnsi="华文中宋" w:cs="华文中宋"/>
          <w:sz w:val="22"/>
          <w:szCs w:val="22"/>
        </w:rPr>
        <w:t xml:space="preserve">                 </w:t>
      </w:r>
      <w:r>
        <w:rPr>
          <w:rFonts w:ascii="华文中宋" w:eastAsia="华文中宋" w:hAnsi="华文中宋" w:cs="华文中宋" w:hint="eastAsia"/>
          <w:sz w:val="22"/>
          <w:szCs w:val="22"/>
        </w:rPr>
        <w:t>（3）措施不到位，或项目未涉及内容，得0分；</w:t>
      </w:r>
    </w:p>
    <w:p w:rsidR="003E258C" w:rsidRDefault="003E258C" w:rsidP="002B420B">
      <w:pPr>
        <w:widowControl/>
        <w:spacing w:line="500" w:lineRule="exact"/>
        <w:ind w:firstLine="450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 w:hint="eastAsia"/>
          <w:sz w:val="22"/>
          <w:szCs w:val="22"/>
        </w:rPr>
        <w:t>6</w:t>
      </w:r>
      <w:r>
        <w:rPr>
          <w:rFonts w:ascii="华文中宋" w:eastAsia="华文中宋" w:hAnsi="华文中宋" w:cs="华文中宋"/>
          <w:sz w:val="22"/>
          <w:szCs w:val="22"/>
        </w:rPr>
        <w:t>.</w:t>
      </w:r>
      <w:r>
        <w:rPr>
          <w:rFonts w:ascii="华文中宋" w:eastAsia="华文中宋" w:hAnsi="华文中宋" w:cs="华文中宋" w:hint="eastAsia"/>
          <w:sz w:val="22"/>
          <w:szCs w:val="22"/>
        </w:rPr>
        <w:t>优选项计分公式：优选项得分=所有优选项得分相加</w:t>
      </w:r>
    </w:p>
    <w:p w:rsidR="00553889" w:rsidRDefault="00553889" w:rsidP="00471FD0">
      <w:pPr>
        <w:widowControl/>
        <w:spacing w:line="560" w:lineRule="exact"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/>
          <w:sz w:val="22"/>
          <w:szCs w:val="22"/>
        </w:rPr>
        <w:br w:type="page"/>
      </w:r>
    </w:p>
    <w:p w:rsidR="00FA4838" w:rsidRDefault="00CE3670">
      <w:pPr>
        <w:outlineLvl w:val="0"/>
        <w:rPr>
          <w:rFonts w:ascii="华文中宋" w:eastAsia="华文中宋" w:hAnsi="华文中宋" w:cs="华文中宋"/>
          <w:sz w:val="22"/>
          <w:szCs w:val="22"/>
        </w:rPr>
      </w:pPr>
      <w:proofErr w:type="gramStart"/>
      <w:r>
        <w:rPr>
          <w:rFonts w:ascii="华文中宋" w:eastAsia="华文中宋" w:hAnsi="华文中宋" w:cs="华文中宋"/>
          <w:sz w:val="22"/>
          <w:szCs w:val="22"/>
        </w:rPr>
        <w:lastRenderedPageBreak/>
        <w:t>NO:GDSZ</w:t>
      </w:r>
      <w:proofErr w:type="gramEnd"/>
      <w:r>
        <w:rPr>
          <w:rFonts w:ascii="华文中宋" w:eastAsia="华文中宋" w:hAnsi="华文中宋" w:cs="华文中宋"/>
          <w:sz w:val="22"/>
          <w:szCs w:val="22"/>
        </w:rPr>
        <w:t>-1</w:t>
      </w:r>
    </w:p>
    <w:p w:rsidR="00FA4838" w:rsidRDefault="00CE3670">
      <w:pPr>
        <w:ind w:rightChars="-244" w:right="-512"/>
        <w:jc w:val="center"/>
        <w:rPr>
          <w:rFonts w:ascii="方正小标宋_GBK" w:eastAsia="方正小标宋_GBK" w:hAnsi="华文中宋" w:cs="华文中宋"/>
          <w:sz w:val="40"/>
          <w:szCs w:val="40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绿色施工要素评价表（绿色施工管理）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6945"/>
        <w:gridCol w:w="1077"/>
        <w:gridCol w:w="1078"/>
      </w:tblGrid>
      <w:tr w:rsidR="00FA4838" w:rsidTr="00050EA9">
        <w:trPr>
          <w:trHeight w:val="498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 绿色施工管理评价</w:t>
            </w:r>
          </w:p>
        </w:tc>
      </w:tr>
      <w:tr w:rsidR="00050EA9" w:rsidTr="00050EA9">
        <w:trPr>
          <w:trHeight w:val="398"/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评价结论（是否符合）</w:t>
            </w:r>
          </w:p>
        </w:tc>
      </w:tr>
      <w:tr w:rsidR="00050EA9" w:rsidTr="0078478B">
        <w:trPr>
          <w:trHeight w:val="398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Pr="00050EA9" w:rsidRDefault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不符合</w:t>
            </w:r>
          </w:p>
        </w:tc>
      </w:tr>
      <w:tr w:rsidR="00050EA9" w:rsidTr="0078478B">
        <w:trPr>
          <w:trHeight w:val="431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4.1.1 项目部应建立绿色施工管理体系和管理制度，实施目标管理。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78478B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4.1.2 施工组织设计及施工方案应有专门的绿色施工章节，内容涵盖绿色施工管理和“四节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环保”要求。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78478B">
        <w:trPr>
          <w:trHeight w:val="765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4.1.3 施工组织设计及施工方案应参考现行国家标准《建筑施工安全检查标准》JGJ 59、</w:t>
            </w:r>
            <w:r w:rsidRPr="00DB34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2018-275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的有关规定，并制定职业健康安全等突发事件的应急预案。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78478B">
        <w:trPr>
          <w:trHeight w:val="448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4.1.4 项目部应建立绿色施工培训制度，并有实施记录。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78478B">
        <w:trPr>
          <w:trHeight w:val="51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4.1.5 应采集和保存过程管理资料、见证资料和自验评价记录等绿色施工资料；应采集能够反映绿色施工水平的典型图片或影像资料。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415"/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实得分</w:t>
            </w:r>
          </w:p>
        </w:tc>
      </w:tr>
      <w:tr w:rsidR="00FA4838" w:rsidTr="0078478B">
        <w:trPr>
          <w:trHeight w:val="36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4.2.1 施工现场资料应采用电子化。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36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4.2.2 应根据绿色施工要求进行图纸会审和深化设计。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36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4.2.3 工程技术交底应包含绿色施工内容。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36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4.2.4 应根据绿色施工检查情况，制定持续改进措施。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51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4.2.5 人员职业健康安全管理应符合下列规定：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1 施工作业区和生活办公区分开布置，生活设施远离有毒有害物质。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51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现场工人劳动强度和工作时间符合现行国家标准《体力劳动强度等级》GB 3869的有关规定。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51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从事有毒、有害、有刺激性气味和强光、强噪音施工的人员佩戴相应的防护器具。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51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深井、密闭环境、防水和室内装修、有限空间作业施工有自然通风或临时通风设施。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51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 高温作业时，施工现场配备防暑降温用品，合理安排工人作息时间。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455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 现场危险设备、地段、有毒物品存放地配置醒目安全标志。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399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 厕所、卫生设施、排水沟及阴暗潮湿地带定期消毒。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510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 现场食堂有卫生许可证，炊事员应定期健康检查并持有效健康证明。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367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 施工现场人员膳食、饮水、休息场所符合卫生标准。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434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 生活区设置密闭式容器，垃圾分类存放，定期灭蝇，及时清运。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1496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4.2.6 人员安全管理符合下列规定：</w:t>
            </w:r>
          </w:p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施工现场入口处、施工起重机械、临时用电设施、脚手架、出入通道口、楼梯口、电梯井口、孔洞口、基坑边沿、高处作业、爆破施工、爆破物品及有害危险气体和液体存放处等危险部位，设置明显的安全警示标志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746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根据不同施工阶段和周围环境及季节、气候的变化，在施工现场采取相应的安全施工措施。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482"/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4.3.1 施工现场设置绿色施工宣传栏。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712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4.3.2 开展绿色施工新技术、新设备、新材料、新工艺的研究、开发和推广。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795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4.3.3 结合项目特点和规模，成立绿色施工专家委员会，对绿色施工方案和实施的全过程进行咨询、研究、决策和评估。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432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4.3.4 针对绿色施工内容开展QC活动。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78478B">
        <w:trPr>
          <w:trHeight w:val="465"/>
          <w:jc w:val="center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4.3.5 采用BIM技术优化施工方案。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50EA9">
        <w:trPr>
          <w:trHeight w:val="515"/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控制项：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50EA9">
        <w:trPr>
          <w:trHeight w:val="520"/>
          <w:jc w:val="center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一般项折算得分：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50EA9">
        <w:trPr>
          <w:trHeight w:val="465"/>
          <w:jc w:val="center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优选项加分：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FA4838" w:rsidRDefault="00FA4838">
      <w:pPr>
        <w:ind w:rightChars="-244" w:right="-512"/>
        <w:rPr>
          <w:rFonts w:ascii="华文中宋" w:eastAsia="华文中宋" w:hAnsi="华文中宋" w:cs="华文中宋"/>
          <w:sz w:val="40"/>
          <w:szCs w:val="40"/>
        </w:rPr>
      </w:pPr>
    </w:p>
    <w:p w:rsidR="00FA4838" w:rsidRDefault="00FA4838">
      <w:pPr>
        <w:ind w:rightChars="-244" w:right="-512"/>
        <w:jc w:val="center"/>
        <w:rPr>
          <w:rFonts w:ascii="华文中宋" w:eastAsia="华文中宋" w:hAnsi="华文中宋" w:cs="华文中宋"/>
          <w:sz w:val="40"/>
          <w:szCs w:val="40"/>
        </w:rPr>
      </w:pPr>
    </w:p>
    <w:p w:rsidR="001D34F0" w:rsidRDefault="001D34F0">
      <w:pPr>
        <w:outlineLvl w:val="0"/>
        <w:rPr>
          <w:rFonts w:ascii="华文中宋" w:eastAsia="华文中宋" w:hAnsi="华文中宋" w:cs="华文中宋"/>
          <w:sz w:val="22"/>
          <w:szCs w:val="22"/>
        </w:rPr>
      </w:pPr>
    </w:p>
    <w:p w:rsidR="00735A2B" w:rsidRDefault="00735A2B">
      <w:pPr>
        <w:outlineLvl w:val="0"/>
        <w:rPr>
          <w:rFonts w:ascii="华文中宋" w:eastAsia="华文中宋" w:hAnsi="华文中宋" w:cs="华文中宋"/>
          <w:sz w:val="22"/>
          <w:szCs w:val="22"/>
        </w:rPr>
      </w:pPr>
    </w:p>
    <w:p w:rsidR="00735A2B" w:rsidRDefault="00735A2B">
      <w:pPr>
        <w:outlineLvl w:val="0"/>
        <w:rPr>
          <w:rFonts w:ascii="华文中宋" w:eastAsia="华文中宋" w:hAnsi="华文中宋" w:cs="华文中宋"/>
          <w:sz w:val="22"/>
          <w:szCs w:val="22"/>
        </w:rPr>
      </w:pPr>
    </w:p>
    <w:p w:rsidR="00735A2B" w:rsidRDefault="00735A2B">
      <w:pPr>
        <w:outlineLvl w:val="0"/>
        <w:rPr>
          <w:rFonts w:ascii="华文中宋" w:eastAsia="华文中宋" w:hAnsi="华文中宋" w:cs="华文中宋"/>
          <w:sz w:val="22"/>
          <w:szCs w:val="22"/>
        </w:rPr>
      </w:pPr>
    </w:p>
    <w:p w:rsidR="00735A2B" w:rsidRDefault="00735A2B">
      <w:pPr>
        <w:outlineLvl w:val="0"/>
        <w:rPr>
          <w:rFonts w:ascii="华文中宋" w:eastAsia="华文中宋" w:hAnsi="华文中宋" w:cs="华文中宋"/>
          <w:sz w:val="22"/>
          <w:szCs w:val="22"/>
        </w:rPr>
      </w:pPr>
    </w:p>
    <w:p w:rsidR="00735A2B" w:rsidRDefault="00735A2B">
      <w:pPr>
        <w:outlineLvl w:val="0"/>
        <w:rPr>
          <w:rFonts w:ascii="华文中宋" w:eastAsia="华文中宋" w:hAnsi="华文中宋" w:cs="华文中宋"/>
          <w:sz w:val="22"/>
          <w:szCs w:val="22"/>
        </w:rPr>
      </w:pPr>
    </w:p>
    <w:p w:rsidR="00735A2B" w:rsidRDefault="00735A2B">
      <w:pPr>
        <w:outlineLvl w:val="0"/>
        <w:rPr>
          <w:rFonts w:ascii="华文中宋" w:eastAsia="华文中宋" w:hAnsi="华文中宋" w:cs="华文中宋"/>
          <w:sz w:val="22"/>
          <w:szCs w:val="22"/>
        </w:rPr>
      </w:pPr>
    </w:p>
    <w:p w:rsidR="00FA4838" w:rsidRDefault="00CE3670">
      <w:pPr>
        <w:outlineLvl w:val="0"/>
        <w:rPr>
          <w:rFonts w:ascii="华文中宋" w:eastAsia="华文中宋" w:hAnsi="华文中宋" w:cs="华文中宋"/>
          <w:sz w:val="22"/>
          <w:szCs w:val="22"/>
        </w:rPr>
      </w:pPr>
      <w:proofErr w:type="gramStart"/>
      <w:r>
        <w:rPr>
          <w:rFonts w:ascii="华文中宋" w:eastAsia="华文中宋" w:hAnsi="华文中宋" w:cs="华文中宋"/>
          <w:sz w:val="22"/>
          <w:szCs w:val="22"/>
        </w:rPr>
        <w:lastRenderedPageBreak/>
        <w:t>NO:GDSZ</w:t>
      </w:r>
      <w:proofErr w:type="gramEnd"/>
      <w:r>
        <w:rPr>
          <w:rFonts w:ascii="华文中宋" w:eastAsia="华文中宋" w:hAnsi="华文中宋" w:cs="华文中宋"/>
          <w:sz w:val="22"/>
          <w:szCs w:val="22"/>
        </w:rPr>
        <w:t>-2</w:t>
      </w:r>
    </w:p>
    <w:p w:rsidR="00FA4838" w:rsidRDefault="00CE3670">
      <w:pPr>
        <w:ind w:rightChars="-244" w:right="-512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绿色施工要素评价表（环境保护）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426"/>
        <w:gridCol w:w="1286"/>
        <w:gridCol w:w="9"/>
        <w:gridCol w:w="1295"/>
      </w:tblGrid>
      <w:tr w:rsidR="00FA4838" w:rsidTr="00050EA9">
        <w:trPr>
          <w:trHeight w:val="454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5 环境保护评价指标</w:t>
            </w:r>
          </w:p>
        </w:tc>
      </w:tr>
      <w:tr w:rsidR="00050EA9" w:rsidTr="00ED111F">
        <w:trPr>
          <w:trHeight w:val="454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</w:t>
            </w: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评价结论（是否符合）</w:t>
            </w:r>
          </w:p>
        </w:tc>
      </w:tr>
      <w:tr w:rsidR="00050EA9" w:rsidTr="00050EA9">
        <w:trPr>
          <w:trHeight w:val="409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不符合</w:t>
            </w:r>
          </w:p>
        </w:tc>
      </w:tr>
      <w:tr w:rsidR="00050EA9" w:rsidTr="00254066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5.1.1 现场施工标牌应反映环境保护的内容。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692B1E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5.1.2 施工现场应在醒目位置设环境保护标识。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433C3F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5.1.3 应对文物古迹、古树名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木采取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有效保护措施。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9B5A81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5.1.4 施工污水和生活污水不得直接排入市政管道。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522C0E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5.1.5 在地下水超采地区和沿海地区不得开采地下水作为施工用水。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实得分</w:t>
            </w: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5.2.1 资源保护符合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应下列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采取基坑封闭降水措施。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危险品、化学品存放处及污物排放采取隔离措施。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CE3670" w:rsidP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5.2.2 扬尘控制应符合下列规定：</w:t>
            </w:r>
          </w:p>
          <w:p w:rsidR="00FA4838" w:rsidRDefault="00CE3670" w:rsidP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1现场建立洒水清扫制度，配备洒水设备，并有专人负责。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对施工道路、裸露土体和集中堆放的土方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采取抑尘措施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3施工垃圾和生活垃圾设置存放点并按规定及时清运。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运送土方、渣土等易产生扬尘的车辆采取封闭或遮盖措施。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 现场进出口设洗车槽和高压水枪，进出现场车辆保持清洁。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 易飞扬和细颗粒建筑材料封闭存放，余料及时回收。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 易产生扬尘的施工作业采取遮挡、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抑尘等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 拆除爆破作业有降尘措施。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 控制现场作业区扬尘及噪音应符合地方的管理规定。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5.2.3 有害气体排放控制应符合下列规定：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进出场车辆及机械设备废气排放符合相关要求。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不使用煤炭作为现场生活的燃料。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电焊烟气的排放符合现行国家标准《大气污染物综合排放标准》GB 16297的规定。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不在现场燃烧废弃物。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5.2.4 工程垃圾处置应符合下列规定：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取得当地相关部门余泥渣土（垃圾）排放许可。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工程垃圾分类收集，集中堆放和运出。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有毒有害废物分类率达到100%。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工程垃圾回收利用率达到30%。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 采用碎石和土石方类等用作地基和路基回填材料。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5.2.5 现场生活垃圾处置应符合下列规定：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废电池、废墨盒等有毒有害的废弃物封闭回收，不与其它垃圾混弃。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垃圾分类应执行当地建设主管部门管理规定，生活垃圾定期清运。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5.2.6 污水排放应符合下列规定：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污水、雨水分流排放。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现场道路和材料堆放场地周边设排水沟。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现场设置污水沉淀池，污水经处理后排入市政污水管道。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现场厕所设置化粪池，化粪池污水排至市政污水管道，并定期清理。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 工地厨房设隔油池，隔油池定期清理。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5.2.7 光污染应符合下列规定： 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夜间电焊作业采取挡光措施；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工地设置大型照明灯具时，有防止强光线外泄的措施。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5.2.8 噪音控制应符合下列规定：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采用低噪音设备和工艺进行施工。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产生噪声的施工机械设置在远离施工现场办公区、生活区和周边住宅区的地方，或采取降噪隔声措施。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混凝土输送泵、电锯等设备有隔音措施。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施工噪音排放符合国家与广东省有关施工禁令时间的规定。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 夜间施工噪声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声强值符合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国家有关规定。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 吊装作业指挥使用对讲机传达指令。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5.2.9 施工中土方的开挖量和回填量应预先计算平衡。开挖的土方应合理回填利用。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5.3.1 施工现场设置隔声设施。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5.3.2 现场设置可移动环保厕所，并定期清运、消毒。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5.3.3 现场设噪声监测点，并实施动态监测。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5.3.4 现场采用喷雾淋水装置降尘。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454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5.3.5 工程垃圾回收利用率达到50%。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F105F">
        <w:trPr>
          <w:trHeight w:val="454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F105F">
        <w:trPr>
          <w:trHeight w:val="454"/>
          <w:jc w:val="center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一般项折算得分：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F105F">
        <w:trPr>
          <w:trHeight w:val="454"/>
          <w:jc w:val="center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优选项加分：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FA4838" w:rsidRDefault="00FA4838">
      <w:pPr>
        <w:rPr>
          <w:rFonts w:ascii="华文中宋" w:eastAsia="华文中宋" w:hAnsi="华文中宋" w:cs="华文中宋"/>
          <w:sz w:val="22"/>
          <w:szCs w:val="22"/>
        </w:rPr>
      </w:pPr>
    </w:p>
    <w:p w:rsidR="00FA4838" w:rsidRDefault="00CE3670">
      <w:pPr>
        <w:widowControl/>
        <w:jc w:val="left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/>
          <w:sz w:val="22"/>
          <w:szCs w:val="22"/>
        </w:rPr>
        <w:br w:type="page"/>
      </w:r>
    </w:p>
    <w:p w:rsidR="00FA4838" w:rsidRDefault="00CE3670">
      <w:pPr>
        <w:outlineLvl w:val="0"/>
        <w:rPr>
          <w:rFonts w:ascii="华文中宋" w:eastAsia="华文中宋" w:hAnsi="华文中宋" w:cs="华文中宋"/>
          <w:sz w:val="22"/>
          <w:szCs w:val="22"/>
        </w:rPr>
      </w:pPr>
      <w:proofErr w:type="gramStart"/>
      <w:r>
        <w:rPr>
          <w:rFonts w:ascii="华文中宋" w:eastAsia="华文中宋" w:hAnsi="华文中宋" w:cs="华文中宋"/>
          <w:sz w:val="22"/>
          <w:szCs w:val="22"/>
        </w:rPr>
        <w:lastRenderedPageBreak/>
        <w:t>NO:GDSZ</w:t>
      </w:r>
      <w:proofErr w:type="gramEnd"/>
      <w:r>
        <w:rPr>
          <w:rFonts w:ascii="华文中宋" w:eastAsia="华文中宋" w:hAnsi="华文中宋" w:cs="华文中宋"/>
          <w:sz w:val="22"/>
          <w:szCs w:val="22"/>
        </w:rPr>
        <w:t>-3</w:t>
      </w:r>
    </w:p>
    <w:p w:rsidR="00FA4838" w:rsidRDefault="00CE3670">
      <w:pPr>
        <w:ind w:rightChars="-244" w:right="-512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绿色施工要素评价表（节材与材料资源利用）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426"/>
        <w:gridCol w:w="1286"/>
        <w:gridCol w:w="9"/>
        <w:gridCol w:w="1295"/>
      </w:tblGrid>
      <w:tr w:rsidR="00FA4838" w:rsidTr="000F105F">
        <w:trPr>
          <w:trHeight w:val="2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6 节材与材料资源利用评价指标</w:t>
            </w:r>
          </w:p>
        </w:tc>
      </w:tr>
      <w:tr w:rsidR="00050EA9" w:rsidTr="00F40610">
        <w:trPr>
          <w:trHeight w:val="2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</w:t>
            </w: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评价结论（是否符合）</w:t>
            </w:r>
          </w:p>
        </w:tc>
      </w:tr>
      <w:tr w:rsidR="00050EA9" w:rsidTr="00F40610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不符合</w:t>
            </w:r>
          </w:p>
        </w:tc>
      </w:tr>
      <w:tr w:rsidR="00050EA9" w:rsidTr="00AA5731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6.1.1 应有健全的机械保养、限额领料、工程垃圾再生利用等制度并有相关实施记录。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4C432A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6.1.2 应根据就地取材的原则进行材料选择并有实施记录。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42710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6.1.3 应计算工程主材的计划用量和实际用量并有相关记录。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实得分</w:t>
            </w: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6.2.1 材料的选择应符合下列规定：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选用绿色、环保的施工材料。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临建设施采用可拆迁、可回收材料。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利用粉煤灰、矿渣、外加剂等新材料降低混凝土及砂浆中的水泥用量；粉煤灰、矿渣、外加剂等新材料掺量按供货单位推荐掺量、使用要求、施工条件、原材料等因素通过试验确定。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现场主要采购当地销售的建筑材料，缩短运输距离。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6.2.2 材料的节约应符合下列规定：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面材、块材鑲贴或安装预先总体排版。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优化线材下料方案。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采用新型的模板支撑体系及模板材料。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采用当</w:t>
            </w:r>
            <w:r w:rsidRPr="00DB34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地建设主管部门推行使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用的脚手架和支撑体系。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 控制主体结构的平整度和垂直度，误差符合相关施工质量验收规范的要求。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 工程应用装配式施工，机电安装采用BIM优化设计。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 工程主材的损耗率不超过2.5%。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 现场模板的周转次数不少于5次。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6.2.3 资源再生利用应符合下列规定：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现场办公用纸分类摆放，纸张两面使用，废纸回收。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建筑余料合理使用。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科学利用板材、块材、短钢筋等下脚料和撒落混凝土及砂浆。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临建设施充分利用既有建筑物和市政设施。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6.2.4 施工组织设计中有合理的施工分区。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6.3.1 采用工具化、定型化、装配化、标准化的施工材料和设备。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6.3.2 建筑材料、设备的包装物全部回收。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6.3.3 工程主材的损耗率不超过1%。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6.3.4 采用高强钢筋。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6.3.5 采用预拌砂浆。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F105F">
        <w:trPr>
          <w:trHeight w:val="2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F105F">
        <w:trPr>
          <w:trHeight w:val="20"/>
          <w:jc w:val="center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一般项折算得分：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F105F">
        <w:trPr>
          <w:trHeight w:val="20"/>
          <w:jc w:val="center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优选项加分：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F105F">
        <w:trPr>
          <w:trHeight w:val="20"/>
          <w:jc w:val="center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</w:tbl>
    <w:p w:rsidR="00FA4838" w:rsidRDefault="00CE3670">
      <w:pPr>
        <w:outlineLvl w:val="0"/>
        <w:rPr>
          <w:rFonts w:ascii="华文中宋" w:eastAsia="华文中宋" w:hAnsi="华文中宋" w:cs="华文中宋"/>
          <w:sz w:val="22"/>
          <w:szCs w:val="22"/>
        </w:rPr>
      </w:pPr>
      <w:r>
        <w:rPr>
          <w:rFonts w:ascii="华文中宋" w:eastAsia="华文中宋" w:hAnsi="华文中宋" w:cs="华文中宋"/>
          <w:sz w:val="22"/>
          <w:szCs w:val="22"/>
        </w:rPr>
        <w:lastRenderedPageBreak/>
        <w:t>NO：GDSZ-4</w:t>
      </w:r>
    </w:p>
    <w:p w:rsidR="00FA4838" w:rsidRDefault="00CE3670">
      <w:pPr>
        <w:ind w:rightChars="-244" w:right="-512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绿色施工要素评价表（节水与水资源利用）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426"/>
        <w:gridCol w:w="1286"/>
        <w:gridCol w:w="9"/>
        <w:gridCol w:w="1295"/>
      </w:tblGrid>
      <w:tr w:rsidR="00FA4838">
        <w:trPr>
          <w:trHeight w:val="36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7 节水与水资源利用评价指标</w:t>
            </w:r>
          </w:p>
        </w:tc>
      </w:tr>
      <w:tr w:rsidR="00050EA9" w:rsidTr="00AF6C65">
        <w:trPr>
          <w:trHeight w:val="36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</w:t>
            </w: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评价结论（是否符合）</w:t>
            </w:r>
          </w:p>
        </w:tc>
      </w:tr>
      <w:tr w:rsidR="00050EA9" w:rsidTr="00AF6C65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不符合</w:t>
            </w:r>
          </w:p>
        </w:tc>
      </w:tr>
      <w:tr w:rsidR="00050EA9" w:rsidTr="000A5BE0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7.1.1 签订分包或劳务合同时，应将节水指标纳入合同条款。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23748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7.1.2 应有用水计量考核记录。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实得分</w:t>
            </w:r>
          </w:p>
        </w:tc>
      </w:tr>
      <w:tr w:rsidR="00FA4838" w:rsidTr="00050EA9">
        <w:trPr>
          <w:trHeight w:val="51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7.2.1 节约用水应符合下列规定：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施工现场供水管网设计合理。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51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施工现场办公区、生活区的生活用水采用节水器具，节水器具配置率应达到100%。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施工现场对生活用水与工程用水分别计量。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施工中采用节水的施工工艺。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 混凝土养护和砂浆搅拌用水合理并有节水措施。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 管网和用水器具不渗漏。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7 </w:t>
            </w:r>
            <w:r w:rsidRPr="001D34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单位工程单位建筑面积的用水量控制在1m</w:t>
            </w:r>
            <w:r w:rsidRPr="001D34F0">
              <w:rPr>
                <w:rStyle w:val="font51"/>
                <w:rFonts w:ascii="仿宋" w:eastAsia="仿宋" w:hAnsi="仿宋" w:hint="default"/>
              </w:rPr>
              <w:t>3</w:t>
            </w:r>
            <w:r w:rsidRPr="001D34F0">
              <w:rPr>
                <w:rStyle w:val="font11"/>
                <w:rFonts w:ascii="仿宋" w:eastAsia="仿宋" w:hAnsi="仿宋" w:hint="default"/>
              </w:rPr>
              <w:t>/m</w:t>
            </w:r>
            <w:r w:rsidRPr="001D34F0">
              <w:rPr>
                <w:rStyle w:val="font51"/>
                <w:rFonts w:ascii="仿宋" w:eastAsia="仿宋" w:hAnsi="仿宋" w:hint="default"/>
              </w:rPr>
              <w:t>2</w:t>
            </w:r>
            <w:r w:rsidRPr="001D34F0">
              <w:rPr>
                <w:rStyle w:val="font11"/>
                <w:rFonts w:ascii="仿宋" w:eastAsia="仿宋" w:hAnsi="仿宋" w:hint="default"/>
              </w:rPr>
              <w:t>之内。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51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7.2.2 水资源的利用符合下列规定：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应用海绵城市工程措施，提倡雨水收集利用。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基坑降水储存使用。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冲洗现场机具、设备、车辆的用水设立循环用水装置。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7.3.1 施工现场建立水资源再利用的收集处理系统。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7.3.2 采用污水净化处理及再利用装置。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7.3.3 喷洒路面、绿化浇灌、冲洗车辆和机具不用自来水。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7.3.4 生活、生产污水处理后使用。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7.3.5 现场使用经检验合格的非传统水源。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3D6BAA">
        <w:trPr>
          <w:trHeight w:val="36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3D6BAA">
        <w:trPr>
          <w:trHeight w:val="360"/>
          <w:jc w:val="center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一般项折算得分：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3D6BAA">
        <w:trPr>
          <w:trHeight w:val="360"/>
          <w:jc w:val="center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优选项加分：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>
        <w:trPr>
          <w:trHeight w:val="1998"/>
          <w:jc w:val="center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</w:tbl>
    <w:p w:rsidR="001D34F0" w:rsidRDefault="001D34F0">
      <w:pPr>
        <w:rPr>
          <w:rFonts w:ascii="华文中宋" w:eastAsia="华文中宋" w:hAnsi="华文中宋" w:cs="华文中宋"/>
          <w:sz w:val="22"/>
          <w:szCs w:val="22"/>
        </w:rPr>
      </w:pPr>
    </w:p>
    <w:p w:rsidR="00735A2B" w:rsidRDefault="00735A2B">
      <w:pPr>
        <w:rPr>
          <w:rFonts w:ascii="华文中宋" w:eastAsia="华文中宋" w:hAnsi="华文中宋" w:cs="华文中宋"/>
          <w:sz w:val="22"/>
          <w:szCs w:val="22"/>
        </w:rPr>
      </w:pPr>
    </w:p>
    <w:p w:rsidR="00FA4838" w:rsidRDefault="00CE3670">
      <w:pPr>
        <w:rPr>
          <w:rFonts w:ascii="华文中宋" w:eastAsia="华文中宋" w:hAnsi="华文中宋" w:cs="华文中宋"/>
          <w:sz w:val="22"/>
          <w:szCs w:val="22"/>
        </w:rPr>
      </w:pPr>
      <w:proofErr w:type="gramStart"/>
      <w:r>
        <w:rPr>
          <w:rFonts w:ascii="华文中宋" w:eastAsia="华文中宋" w:hAnsi="华文中宋" w:cs="华文中宋"/>
          <w:sz w:val="22"/>
          <w:szCs w:val="22"/>
        </w:rPr>
        <w:lastRenderedPageBreak/>
        <w:t>NO:GDSZ</w:t>
      </w:r>
      <w:proofErr w:type="gramEnd"/>
      <w:r>
        <w:rPr>
          <w:rFonts w:ascii="华文中宋" w:eastAsia="华文中宋" w:hAnsi="华文中宋" w:cs="华文中宋"/>
          <w:sz w:val="22"/>
          <w:szCs w:val="22"/>
        </w:rPr>
        <w:t>-5</w:t>
      </w:r>
    </w:p>
    <w:p w:rsidR="00FA4838" w:rsidRDefault="00CE3670">
      <w:pPr>
        <w:ind w:rightChars="-244" w:right="-512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绿色施工要素评价表（节能与能源利用）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578"/>
        <w:gridCol w:w="1134"/>
        <w:gridCol w:w="1304"/>
      </w:tblGrid>
      <w:tr w:rsidR="00FA4838" w:rsidTr="00050EA9">
        <w:trPr>
          <w:trHeight w:val="397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8 节能与能源利用评价指标</w:t>
            </w:r>
          </w:p>
        </w:tc>
      </w:tr>
      <w:tr w:rsidR="00050EA9" w:rsidTr="00050EA9">
        <w:trPr>
          <w:trHeight w:val="397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</w:t>
            </w:r>
          </w:p>
        </w:tc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评价结论（是否符合）</w:t>
            </w:r>
          </w:p>
        </w:tc>
      </w:tr>
      <w:tr w:rsidR="00050EA9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不符合</w:t>
            </w:r>
          </w:p>
        </w:tc>
      </w:tr>
      <w:tr w:rsidR="00050EA9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8.1.1 施工现场的用电必须装设电表，办公区、生活区和施工区用电应分别计量。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8.1.2 对主要耗能施工设备应定期进行耗能计量核算。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8.1.3 禁止使用国家、行业和广东省政府明令淘汰的施工设备、机具和产品。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实得分</w:t>
            </w: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8.2.1 临时用电设施符合下列规定：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采用节能型设施。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施工现场采用发电机供电系统应符合临时用电规定，设施配备合理。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施工现场照明设计符合行业标准《施工现场临时用电安全技术规范》JGJ 46的规定。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办公区和生活区节能照明灯具的数量不少于80％。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8.2.2 机械设备应符合下列规定：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选择能源利用效率高的施工机械设备。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施工作业做到停工关机。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建立设备技术档案，定期进行设备维护、保养。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施工机具资源共享。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8.2.3 临时设施应符合下列规定：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结合日照和风向等自然条件，合理采用自然采光、通风。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采取窗帘、外窗遮阳等防晒措施。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3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使用热功性能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达标的复合墙体和屋面板，顶棚采用吊顶。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8.2.4 材料运输应符合下列规定： 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建筑材料的选用要缩短运输距离。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场内材料运输有减少二次搬运的措施。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8.2.5 现场施工符合下列规定： 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合理安排施工工序和施工进度。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采用能耗少的施工技术和施工工艺。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尽量减少夜间作业时间。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8.3.1 合理利用太阳能或其他可再生能源。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8.3.2 临时用电设备采用自动控制装置。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8.3.3 照明采用声控、光控等自动照明控制。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8.3.4 使用的施工设备和机具符合国家、行业有关节能、高效、环保的规定。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8.3.5 功率因素不低于0.9。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97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8.3.6 </w:t>
            </w:r>
            <w:r w:rsidRPr="00DB34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单位工程建筑面积的用电量控制在12kW</w:t>
            </w:r>
            <w:r w:rsidRPr="00DB34FA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•</w:t>
            </w:r>
            <w:r w:rsidRPr="00DB34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h/m</w:t>
            </w:r>
            <w:r w:rsidRPr="00DB34FA"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 w:rsidRPr="00DB34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之内。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50EA9">
        <w:trPr>
          <w:trHeight w:val="397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控制项：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50EA9">
        <w:trPr>
          <w:trHeight w:val="397"/>
          <w:jc w:val="center"/>
        </w:trPr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一般项折算得分：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050EA9">
        <w:trPr>
          <w:trHeight w:val="397"/>
          <w:jc w:val="center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优选项加分：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050EA9" w:rsidRDefault="00050EA9">
      <w:pPr>
        <w:spacing w:line="480" w:lineRule="exact"/>
        <w:outlineLvl w:val="0"/>
        <w:rPr>
          <w:rFonts w:ascii="华文中宋" w:eastAsia="华文中宋" w:hAnsi="华文中宋" w:cs="华文中宋"/>
          <w:sz w:val="22"/>
          <w:szCs w:val="22"/>
        </w:rPr>
      </w:pPr>
    </w:p>
    <w:p w:rsidR="00FA4838" w:rsidRDefault="00CE3670">
      <w:pPr>
        <w:spacing w:line="480" w:lineRule="exact"/>
        <w:outlineLvl w:val="0"/>
        <w:rPr>
          <w:rFonts w:ascii="华文中宋" w:eastAsia="华文中宋" w:hAnsi="华文中宋" w:cs="华文中宋"/>
          <w:sz w:val="22"/>
          <w:szCs w:val="22"/>
        </w:rPr>
      </w:pPr>
      <w:proofErr w:type="gramStart"/>
      <w:r>
        <w:rPr>
          <w:rFonts w:ascii="华文中宋" w:eastAsia="华文中宋" w:hAnsi="华文中宋" w:cs="华文中宋"/>
          <w:sz w:val="22"/>
          <w:szCs w:val="22"/>
        </w:rPr>
        <w:t>NO:GDSZ</w:t>
      </w:r>
      <w:proofErr w:type="gramEnd"/>
      <w:r>
        <w:rPr>
          <w:rFonts w:ascii="华文中宋" w:eastAsia="华文中宋" w:hAnsi="华文中宋" w:cs="华文中宋"/>
          <w:sz w:val="22"/>
          <w:szCs w:val="22"/>
        </w:rPr>
        <w:t>-6</w:t>
      </w:r>
    </w:p>
    <w:p w:rsidR="00FA4838" w:rsidRDefault="00CE3670">
      <w:pPr>
        <w:spacing w:line="480" w:lineRule="exact"/>
        <w:ind w:rightChars="-244" w:right="-512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绿色施工要素评价表（节地与土地资源保护）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426"/>
        <w:gridCol w:w="1286"/>
        <w:gridCol w:w="9"/>
        <w:gridCol w:w="1295"/>
      </w:tblGrid>
      <w:tr w:rsidR="00FA4838">
        <w:trPr>
          <w:trHeight w:val="36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 节地与土地资源保护评价指标</w:t>
            </w:r>
          </w:p>
        </w:tc>
      </w:tr>
      <w:tr w:rsidR="00050EA9" w:rsidTr="00173861">
        <w:trPr>
          <w:trHeight w:val="36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评价结论（是否符合）</w:t>
            </w:r>
          </w:p>
        </w:tc>
      </w:tr>
      <w:tr w:rsidR="00050EA9" w:rsidTr="00173861">
        <w:trPr>
          <w:trHeight w:val="360"/>
          <w:jc w:val="center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Pr="00050EA9" w:rsidRDefault="00050EA9" w:rsidP="00050EA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不符合</w:t>
            </w:r>
          </w:p>
        </w:tc>
      </w:tr>
      <w:tr w:rsidR="00050EA9" w:rsidTr="00153C73">
        <w:trPr>
          <w:trHeight w:val="36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9.1.1 施工临时用地应在审批用地范围，并合理进行平面布局。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F54F2D">
        <w:trPr>
          <w:trHeight w:val="765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9.1.2 施工单位应充分了解施工现场及毗邻区域内人文景观保护要求、工程地质情况及基础设施管线分布情况，制订相应保护措施，并应报请相关方核准。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050EA9" w:rsidTr="00470494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9.1.3 施工场地布置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应合理并应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实施动态管理。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EA9" w:rsidRDefault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标准编号及标准要求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应得分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实得分</w:t>
            </w:r>
          </w:p>
        </w:tc>
      </w:tr>
      <w:tr w:rsidR="00FA4838" w:rsidTr="00050EA9">
        <w:trPr>
          <w:trHeight w:val="51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9.2.1 节约用地应符合下列规定：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施工总平面布置紧凑，并尽量减少占地。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根据现场条件，合理设计场内交通道路。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施工现场临时道路布置宜与原有及永久道路兼顾考虑。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 有采取减少现场临时占地的措施。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51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9.2.2 保护用地应符合下列规定：</w:t>
            </w:r>
          </w:p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 有采取防止水土流失的措施。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 取土、弃土在规定场所进行。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 施工后尽快恢复损坏的植被。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51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9.3.1 临时办公和生活用房采用多层轻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钢活动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板房及其他可重复使用的装配式结构。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285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9.3.2 利用原有设施作为现场临时设施。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51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9.3.3 保护施工用地范围内原有植被，结合建筑场地的永久绿化进行场内绿化。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9.3.4 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利用已完成结构作为办公场地或材料堆场。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9.3.5 钢筋加工配送化，构件制作工厂化。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 w:rsidP="00050EA9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9.3.6 职工宿舍满足2m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/人的使用面积要求。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 w:rsidTr="00050EA9">
        <w:trPr>
          <w:trHeight w:val="36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 w:rsidP="00050EA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控制项：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一般项折算得分：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优选项加分：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A4838">
        <w:trPr>
          <w:trHeight w:val="36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要素得分：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735A2B" w:rsidRDefault="00735A2B">
      <w:pPr>
        <w:ind w:rightChars="-244" w:right="-512"/>
        <w:jc w:val="center"/>
        <w:rPr>
          <w:rFonts w:ascii="方正小标宋_GBK" w:eastAsia="方正小标宋_GBK" w:hAnsi="华文中宋" w:cs="华文中宋"/>
          <w:sz w:val="32"/>
          <w:szCs w:val="32"/>
        </w:rPr>
      </w:pPr>
    </w:p>
    <w:p w:rsidR="00FA4838" w:rsidRDefault="00CE3670">
      <w:pPr>
        <w:ind w:rightChars="-244" w:right="-512"/>
        <w:jc w:val="center"/>
        <w:rPr>
          <w:rFonts w:ascii="方正小标宋_GBK" w:eastAsia="方正小标宋_GBK" w:hAnsi="华文中宋" w:cs="华文中宋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sz w:val="32"/>
          <w:szCs w:val="32"/>
        </w:rPr>
        <w:t>绿色施工管理评价得分</w:t>
      </w:r>
    </w:p>
    <w:tbl>
      <w:tblPr>
        <w:tblW w:w="96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3834"/>
        <w:gridCol w:w="1533"/>
        <w:gridCol w:w="1567"/>
      </w:tblGrid>
      <w:tr w:rsidR="001D34F0" w:rsidTr="00D41FB0">
        <w:trPr>
          <w:trHeight w:val="1192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工程名称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 w:rsidP="00D41FB0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4F0" w:rsidTr="00DF4882">
        <w:trPr>
          <w:trHeight w:val="846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施工单位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FA4838">
        <w:trPr>
          <w:trHeight w:val="567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评价要素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要素评价得分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权重系数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得分×权重</w:t>
            </w:r>
          </w:p>
        </w:tc>
      </w:tr>
      <w:tr w:rsidR="00FA4838">
        <w:trPr>
          <w:trHeight w:val="113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绿色施工管理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0.10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FA4838">
        <w:trPr>
          <w:trHeight w:val="113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环境保护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FA4838">
        <w:trPr>
          <w:trHeight w:val="113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节材与材料资源利用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FA4838">
        <w:trPr>
          <w:trHeight w:val="113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节水与水资源利用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FA4838">
        <w:trPr>
          <w:trHeight w:val="113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节能与能源利用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FA4838">
        <w:trPr>
          <w:trHeight w:val="113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节地与土地资源保护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CE367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0.18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4838" w:rsidRDefault="00FA483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1D34F0" w:rsidTr="007772DA">
        <w:trPr>
          <w:trHeight w:val="1134"/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34F0" w:rsidRDefault="001D34F0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</w:tbl>
    <w:p w:rsidR="00FA4838" w:rsidRDefault="00FA4838">
      <w:pPr>
        <w:widowControl/>
        <w:jc w:val="left"/>
        <w:rPr>
          <w:rFonts w:ascii="华文中宋" w:eastAsia="华文中宋" w:hAnsi="华文中宋" w:cs="华文中宋"/>
          <w:sz w:val="32"/>
          <w:szCs w:val="32"/>
        </w:rPr>
      </w:pPr>
    </w:p>
    <w:sectPr w:rsidR="00FA4838">
      <w:footerReference w:type="default" r:id="rId8"/>
      <w:pgSz w:w="11906" w:h="16838"/>
      <w:pgMar w:top="1038" w:right="1474" w:bottom="720" w:left="1474" w:header="851" w:footer="113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2A" w:rsidRDefault="00AC3F2A">
      <w:r>
        <w:separator/>
      </w:r>
    </w:p>
  </w:endnote>
  <w:endnote w:type="continuationSeparator" w:id="0">
    <w:p w:rsidR="00AC3F2A" w:rsidRDefault="00AC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973990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553889" w:rsidRDefault="00553889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889" w:rsidRDefault="005538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2A" w:rsidRDefault="00AC3F2A">
      <w:r>
        <w:separator/>
      </w:r>
    </w:p>
  </w:footnote>
  <w:footnote w:type="continuationSeparator" w:id="0">
    <w:p w:rsidR="00AC3F2A" w:rsidRDefault="00AC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9B1C"/>
    <w:multiLevelType w:val="singleLevel"/>
    <w:tmpl w:val="7A579B1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5DB4252"/>
    <w:rsid w:val="00013920"/>
    <w:rsid w:val="00040E25"/>
    <w:rsid w:val="00050EA9"/>
    <w:rsid w:val="00081D69"/>
    <w:rsid w:val="00095C59"/>
    <w:rsid w:val="000B1DCC"/>
    <w:rsid w:val="000E24C2"/>
    <w:rsid w:val="000F105F"/>
    <w:rsid w:val="000F3C13"/>
    <w:rsid w:val="00140E67"/>
    <w:rsid w:val="001564DE"/>
    <w:rsid w:val="00177537"/>
    <w:rsid w:val="0019109B"/>
    <w:rsid w:val="00195864"/>
    <w:rsid w:val="001A6870"/>
    <w:rsid w:val="001C5C10"/>
    <w:rsid w:val="001D34F0"/>
    <w:rsid w:val="00227D6E"/>
    <w:rsid w:val="00273848"/>
    <w:rsid w:val="002750B1"/>
    <w:rsid w:val="002830AD"/>
    <w:rsid w:val="002B3822"/>
    <w:rsid w:val="002B420B"/>
    <w:rsid w:val="002C1994"/>
    <w:rsid w:val="00315D7B"/>
    <w:rsid w:val="003228C0"/>
    <w:rsid w:val="00326FA6"/>
    <w:rsid w:val="00353D6A"/>
    <w:rsid w:val="0037350E"/>
    <w:rsid w:val="00374612"/>
    <w:rsid w:val="003C508A"/>
    <w:rsid w:val="003D6F22"/>
    <w:rsid w:val="003E258C"/>
    <w:rsid w:val="003E5883"/>
    <w:rsid w:val="0044276A"/>
    <w:rsid w:val="00471FD0"/>
    <w:rsid w:val="00482E3A"/>
    <w:rsid w:val="004B168B"/>
    <w:rsid w:val="004C0533"/>
    <w:rsid w:val="00502BBD"/>
    <w:rsid w:val="0052568B"/>
    <w:rsid w:val="00553889"/>
    <w:rsid w:val="00585637"/>
    <w:rsid w:val="00596613"/>
    <w:rsid w:val="005C030E"/>
    <w:rsid w:val="005F0C60"/>
    <w:rsid w:val="005F2FAC"/>
    <w:rsid w:val="005F7575"/>
    <w:rsid w:val="00631690"/>
    <w:rsid w:val="00642AB5"/>
    <w:rsid w:val="0068658B"/>
    <w:rsid w:val="00693863"/>
    <w:rsid w:val="006A53B0"/>
    <w:rsid w:val="006B0A70"/>
    <w:rsid w:val="006C14DB"/>
    <w:rsid w:val="006D2F9B"/>
    <w:rsid w:val="006D3D2F"/>
    <w:rsid w:val="006E3C62"/>
    <w:rsid w:val="007209DD"/>
    <w:rsid w:val="00735A2B"/>
    <w:rsid w:val="00752947"/>
    <w:rsid w:val="0075453D"/>
    <w:rsid w:val="007551B3"/>
    <w:rsid w:val="0078478B"/>
    <w:rsid w:val="007963EE"/>
    <w:rsid w:val="007C5EA9"/>
    <w:rsid w:val="007E19FC"/>
    <w:rsid w:val="007E4D9D"/>
    <w:rsid w:val="00834360"/>
    <w:rsid w:val="008A0790"/>
    <w:rsid w:val="008A30A1"/>
    <w:rsid w:val="008A7D63"/>
    <w:rsid w:val="008D65A9"/>
    <w:rsid w:val="008E5222"/>
    <w:rsid w:val="00954F11"/>
    <w:rsid w:val="00971FAE"/>
    <w:rsid w:val="009B6C58"/>
    <w:rsid w:val="00A009A9"/>
    <w:rsid w:val="00A27C44"/>
    <w:rsid w:val="00A37039"/>
    <w:rsid w:val="00A65CCC"/>
    <w:rsid w:val="00A719DA"/>
    <w:rsid w:val="00A7716E"/>
    <w:rsid w:val="00AC009E"/>
    <w:rsid w:val="00AC3F2A"/>
    <w:rsid w:val="00AE2ED9"/>
    <w:rsid w:val="00AE78F8"/>
    <w:rsid w:val="00B623D9"/>
    <w:rsid w:val="00B673EA"/>
    <w:rsid w:val="00B86F11"/>
    <w:rsid w:val="00B90AF8"/>
    <w:rsid w:val="00B96580"/>
    <w:rsid w:val="00BA156F"/>
    <w:rsid w:val="00BB2331"/>
    <w:rsid w:val="00BF336D"/>
    <w:rsid w:val="00C17238"/>
    <w:rsid w:val="00CC318E"/>
    <w:rsid w:val="00CE3670"/>
    <w:rsid w:val="00D56524"/>
    <w:rsid w:val="00D92C31"/>
    <w:rsid w:val="00DA7CC3"/>
    <w:rsid w:val="00DB34FA"/>
    <w:rsid w:val="00DD471F"/>
    <w:rsid w:val="00DF6035"/>
    <w:rsid w:val="00E009C1"/>
    <w:rsid w:val="00E10DD9"/>
    <w:rsid w:val="00E12520"/>
    <w:rsid w:val="00E156B8"/>
    <w:rsid w:val="00E232B4"/>
    <w:rsid w:val="00E253D9"/>
    <w:rsid w:val="00E42750"/>
    <w:rsid w:val="00E57E77"/>
    <w:rsid w:val="00EB344C"/>
    <w:rsid w:val="00EC38AF"/>
    <w:rsid w:val="00F13ABD"/>
    <w:rsid w:val="00F40F24"/>
    <w:rsid w:val="00F458EF"/>
    <w:rsid w:val="00F53D1C"/>
    <w:rsid w:val="00F6172C"/>
    <w:rsid w:val="00F72933"/>
    <w:rsid w:val="00FA4838"/>
    <w:rsid w:val="00FB31DF"/>
    <w:rsid w:val="04CA65E2"/>
    <w:rsid w:val="14DF70EC"/>
    <w:rsid w:val="35DB4252"/>
    <w:rsid w:val="7101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7502E"/>
  <w15:docId w15:val="{3A4789B0-0AE8-46FF-95C0-F94655D1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5538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  <w:vertAlign w:val="superscript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aa">
    <w:name w:val="页眉 字符"/>
    <w:basedOn w:val="a0"/>
    <w:link w:val="a9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文档结构图 字符"/>
    <w:basedOn w:val="a0"/>
    <w:link w:val="a3"/>
    <w:rPr>
      <w:rFonts w:ascii="宋体" w:hAnsiTheme="minorHAnsi" w:cstheme="minorBidi"/>
      <w:kern w:val="2"/>
      <w:sz w:val="18"/>
      <w:szCs w:val="18"/>
    </w:rPr>
  </w:style>
  <w:style w:type="character" w:customStyle="1" w:styleId="ac">
    <w:name w:val="标题 字符"/>
    <w:basedOn w:val="a0"/>
    <w:link w:val="a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Subtitle"/>
    <w:basedOn w:val="a"/>
    <w:next w:val="a"/>
    <w:link w:val="ae"/>
    <w:qFormat/>
    <w:rsid w:val="0055388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rsid w:val="00553889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rsid w:val="0055388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f">
    <w:name w:val="Table Grid"/>
    <w:basedOn w:val="a1"/>
    <w:rsid w:val="0055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小清新eda </dc:creator>
  <cp:lastModifiedBy>PC</cp:lastModifiedBy>
  <cp:revision>21</cp:revision>
  <cp:lastPrinted>2021-06-15T06:38:00Z</cp:lastPrinted>
  <dcterms:created xsi:type="dcterms:W3CDTF">2021-02-05T06:28:00Z</dcterms:created>
  <dcterms:modified xsi:type="dcterms:W3CDTF">2021-06-15T06:40:00Z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