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eastAsia="方正小标宋_GBK"/>
          <w:sz w:val="28"/>
          <w:szCs w:val="28"/>
        </w:rPr>
      </w:pPr>
      <w:r>
        <w:rPr>
          <w:rFonts w:hint="eastAsia" w:ascii="方正小标宋_GBK" w:eastAsia="方正小标宋_GBK"/>
          <w:sz w:val="28"/>
          <w:szCs w:val="28"/>
        </w:rPr>
        <w:t>附件2</w:t>
      </w:r>
    </w:p>
    <w:p>
      <w:pPr>
        <w:ind w:firstLine="7280" w:firstLineChars="2600"/>
        <w:jc w:val="right"/>
        <w:rPr>
          <w:rFonts w:ascii="方正小标宋_GBK" w:eastAsia="方正小标宋_GBK" w:hAnsiTheme="minorEastAsia" w:cstheme="minorEastAsia"/>
          <w:sz w:val="28"/>
          <w:szCs w:val="28"/>
        </w:rPr>
      </w:pPr>
    </w:p>
    <w:p>
      <w:pPr>
        <w:ind w:firstLine="7280" w:firstLineChars="2600"/>
        <w:jc w:val="right"/>
        <w:rPr>
          <w:rFonts w:asciiTheme="minorEastAsia" w:hAnsiTheme="minorEastAsia" w:cstheme="minorEastAsia"/>
          <w:sz w:val="28"/>
          <w:szCs w:val="28"/>
        </w:rPr>
      </w:pPr>
    </w:p>
    <w:p>
      <w:pPr>
        <w:ind w:firstLine="7308" w:firstLineChars="2600"/>
        <w:jc w:val="right"/>
        <w:rPr>
          <w:rFonts w:asciiTheme="minorEastAsia" w:hAnsiTheme="minorEastAsia" w:cstheme="minorEastAsia"/>
          <w:b/>
          <w:bCs/>
          <w:sz w:val="28"/>
          <w:szCs w:val="28"/>
        </w:rPr>
      </w:pPr>
    </w:p>
    <w:p>
      <w:pPr>
        <w:ind w:right="-512" w:rightChars="-244"/>
        <w:jc w:val="center"/>
        <w:rPr>
          <w:rFonts w:ascii="方正小标宋_GBK" w:hAnsi="宋体" w:eastAsia="方正小标宋_GBK" w:cs="宋体"/>
          <w:b/>
          <w:bCs/>
          <w:sz w:val="52"/>
          <w:szCs w:val="52"/>
        </w:rPr>
      </w:pPr>
      <w:r>
        <w:rPr>
          <w:rFonts w:hint="eastAsia" w:ascii="方正小标宋_GBK" w:hAnsi="宋体" w:eastAsia="方正小标宋_GBK" w:cs="宋体"/>
          <w:b/>
          <w:bCs/>
          <w:sz w:val="52"/>
          <w:szCs w:val="52"/>
        </w:rPr>
        <w:t>广东省市政工程绿色施工示范项目</w:t>
      </w:r>
    </w:p>
    <w:p>
      <w:pPr>
        <w:ind w:right="-512" w:rightChars="-244"/>
        <w:jc w:val="center"/>
        <w:rPr>
          <w:rFonts w:ascii="方正小标宋_GBK" w:hAnsi="宋体" w:eastAsia="方正小标宋_GBK" w:cs="宋体"/>
          <w:b/>
          <w:bCs/>
          <w:sz w:val="52"/>
          <w:szCs w:val="52"/>
        </w:rPr>
      </w:pPr>
      <w:r>
        <w:rPr>
          <w:rFonts w:hint="eastAsia" w:ascii="方正小标宋_GBK" w:hAnsi="宋体" w:eastAsia="方正小标宋_GBK" w:cs="宋体"/>
          <w:b/>
          <w:bCs/>
          <w:sz w:val="52"/>
          <w:szCs w:val="52"/>
          <w:lang w:val="en-US" w:eastAsia="zh-CN"/>
        </w:rPr>
        <w:t>立项</w:t>
      </w:r>
      <w:r>
        <w:rPr>
          <w:rFonts w:hint="eastAsia" w:ascii="方正小标宋_GBK" w:hAnsi="宋体" w:eastAsia="方正小标宋_GBK" w:cs="宋体"/>
          <w:b/>
          <w:bCs/>
          <w:sz w:val="52"/>
          <w:szCs w:val="52"/>
        </w:rPr>
        <w:t>自评分表</w:t>
      </w:r>
    </w:p>
    <w:p>
      <w:pPr>
        <w:ind w:right="-512" w:rightChars="-244"/>
        <w:jc w:val="center"/>
        <w:rPr>
          <w:rFonts w:ascii="方正小标宋_GBK" w:hAnsi="宋体" w:eastAsia="方正小标宋_GBK" w:cs="宋体"/>
          <w:b/>
          <w:bCs/>
          <w:sz w:val="52"/>
          <w:szCs w:val="52"/>
        </w:rPr>
      </w:pPr>
    </w:p>
    <w:p>
      <w:pPr>
        <w:tabs>
          <w:tab w:val="left" w:pos="851"/>
        </w:tabs>
        <w:spacing w:line="840" w:lineRule="auto"/>
        <w:ind w:left="708" w:leftChars="337"/>
        <w:rPr>
          <w:rFonts w:ascii="方正小标宋_GBK" w:hAnsi="宋体" w:eastAsia="方正小标宋_GBK" w:cs="宋体"/>
          <w:sz w:val="36"/>
          <w:szCs w:val="36"/>
          <w:u w:val="single"/>
        </w:rPr>
      </w:pPr>
      <w:r>
        <w:rPr>
          <w:rFonts w:hint="eastAsia" w:ascii="方正小标宋_GBK" w:hAnsi="宋体" w:eastAsia="方正小标宋_GBK" w:cs="宋体"/>
          <w:sz w:val="36"/>
          <w:szCs w:val="36"/>
        </w:rPr>
        <w:t>工程名称：</w:t>
      </w:r>
      <w:r>
        <w:rPr>
          <w:rFonts w:hint="eastAsia" w:ascii="方正小标宋_GBK" w:hAnsi="宋体" w:eastAsia="方正小标宋_GBK" w:cs="宋体"/>
          <w:sz w:val="36"/>
          <w:szCs w:val="36"/>
          <w:u w:val="single"/>
        </w:rPr>
        <w:t xml:space="preserve"> </w:t>
      </w:r>
      <w:r>
        <w:rPr>
          <w:rFonts w:ascii="方正小标宋_GBK" w:hAnsi="宋体" w:eastAsia="方正小标宋_GBK" w:cs="宋体"/>
          <w:sz w:val="36"/>
          <w:szCs w:val="36"/>
          <w:u w:val="single"/>
        </w:rPr>
        <w:t xml:space="preserve">    </w:t>
      </w:r>
      <w:r>
        <w:rPr>
          <w:rFonts w:hint="eastAsia" w:ascii="方正小标宋_GBK" w:hAnsi="宋体" w:eastAsia="方正小标宋_GBK" w:cs="宋体"/>
          <w:sz w:val="24"/>
          <w:u w:val="single"/>
        </w:rPr>
        <w:t xml:space="preserve"> </w:t>
      </w:r>
      <w:r>
        <w:rPr>
          <w:rFonts w:ascii="方正小标宋_GBK" w:hAnsi="宋体" w:eastAsia="方正小标宋_GBK" w:cs="宋体"/>
          <w:sz w:val="24"/>
          <w:u w:val="single"/>
        </w:rPr>
        <w:t xml:space="preserve"> </w:t>
      </w:r>
      <w:r>
        <w:rPr>
          <w:rFonts w:ascii="方正小标宋_GBK" w:hAnsi="宋体" w:eastAsia="方正小标宋_GBK" w:cs="宋体"/>
          <w:sz w:val="36"/>
          <w:szCs w:val="36"/>
          <w:u w:val="single"/>
        </w:rPr>
        <w:t xml:space="preserve">                       </w:t>
      </w:r>
      <w:r>
        <w:rPr>
          <w:rFonts w:ascii="方正小标宋_GBK" w:hAnsi="宋体" w:eastAsia="方正小标宋_GBK" w:cs="宋体"/>
          <w:sz w:val="24"/>
          <w:u w:val="single"/>
        </w:rPr>
        <w:t xml:space="preserve">    </w:t>
      </w:r>
      <w:r>
        <w:rPr>
          <w:rFonts w:ascii="方正小标宋_GBK" w:hAnsi="宋体" w:eastAsia="方正小标宋_GBK" w:cs="宋体"/>
          <w:sz w:val="36"/>
          <w:szCs w:val="36"/>
          <w:u w:val="single"/>
        </w:rPr>
        <w:t xml:space="preserve">   </w:t>
      </w:r>
    </w:p>
    <w:p>
      <w:pPr>
        <w:tabs>
          <w:tab w:val="left" w:pos="851"/>
        </w:tabs>
        <w:spacing w:line="840" w:lineRule="auto"/>
        <w:ind w:left="708" w:leftChars="337"/>
        <w:rPr>
          <w:rFonts w:ascii="方正小标宋_GBK" w:hAnsi="宋体" w:eastAsia="方正小标宋_GBK" w:cs="宋体"/>
          <w:sz w:val="36"/>
          <w:szCs w:val="36"/>
          <w:u w:val="single"/>
        </w:rPr>
      </w:pPr>
      <w:r>
        <w:rPr>
          <w:rFonts w:hint="eastAsia" w:ascii="方正小标宋_GBK" w:hAnsi="宋体" w:eastAsia="方正小标宋_GBK" w:cs="宋体"/>
          <w:sz w:val="36"/>
          <w:szCs w:val="36"/>
        </w:rPr>
        <w:t>申报单位：</w:t>
      </w:r>
      <w:r>
        <w:rPr>
          <w:rFonts w:hint="eastAsia" w:ascii="方正小标宋_GBK" w:hAnsi="宋体" w:eastAsia="方正小标宋_GBK" w:cs="宋体"/>
          <w:sz w:val="36"/>
          <w:szCs w:val="36"/>
          <w:u w:val="single"/>
        </w:rPr>
        <w:t xml:space="preserve"> </w:t>
      </w:r>
      <w:r>
        <w:rPr>
          <w:rFonts w:ascii="方正小标宋_GBK" w:hAnsi="宋体" w:eastAsia="方正小标宋_GBK" w:cs="宋体"/>
          <w:sz w:val="36"/>
          <w:szCs w:val="36"/>
          <w:u w:val="single"/>
        </w:rPr>
        <w:t xml:space="preserve">  </w:t>
      </w:r>
      <w:r>
        <w:rPr>
          <w:rFonts w:ascii="方正小标宋_GBK" w:hAnsi="宋体" w:eastAsia="方正小标宋_GBK" w:cs="宋体"/>
          <w:sz w:val="24"/>
          <w:u w:val="single"/>
        </w:rPr>
        <w:t xml:space="preserve">        </w:t>
      </w:r>
      <w:r>
        <w:rPr>
          <w:rFonts w:hint="eastAsia" w:ascii="方正小标宋_GBK" w:hAnsi="宋体" w:eastAsia="方正小标宋_GBK" w:cs="宋体"/>
          <w:sz w:val="24"/>
          <w:u w:val="single"/>
        </w:rPr>
        <w:t xml:space="preserve"> </w:t>
      </w:r>
      <w:r>
        <w:rPr>
          <w:rFonts w:ascii="方正小标宋_GBK" w:hAnsi="宋体" w:eastAsia="方正小标宋_GBK" w:cs="宋体"/>
          <w:sz w:val="24"/>
          <w:u w:val="single"/>
        </w:rPr>
        <w:t xml:space="preserve">                                    </w:t>
      </w:r>
      <w:r>
        <w:rPr>
          <w:rFonts w:ascii="方正小标宋_GBK" w:hAnsi="宋体" w:eastAsia="方正小标宋_GBK" w:cs="宋体"/>
          <w:sz w:val="36"/>
          <w:szCs w:val="36"/>
          <w:u w:val="single"/>
        </w:rPr>
        <w:t xml:space="preserve">  </w:t>
      </w:r>
    </w:p>
    <w:p>
      <w:pPr>
        <w:tabs>
          <w:tab w:val="left" w:pos="851"/>
        </w:tabs>
        <w:spacing w:line="840" w:lineRule="auto"/>
        <w:ind w:left="708" w:leftChars="337"/>
        <w:rPr>
          <w:rFonts w:ascii="方正小标宋_GBK" w:hAnsi="宋体" w:eastAsia="方正小标宋_GBK" w:cs="宋体"/>
          <w:sz w:val="36"/>
          <w:szCs w:val="36"/>
          <w:u w:val="single"/>
        </w:rPr>
      </w:pPr>
      <w:r>
        <w:rPr>
          <w:rFonts w:hint="eastAsia" w:ascii="方正小标宋_GBK" w:hAnsi="宋体" w:eastAsia="方正小标宋_GBK" w:cs="宋体"/>
          <w:sz w:val="36"/>
          <w:szCs w:val="36"/>
        </w:rPr>
        <w:t>自评得分：</w:t>
      </w:r>
      <w:r>
        <w:rPr>
          <w:rFonts w:hint="eastAsia" w:ascii="方正小标宋_GBK" w:hAnsi="宋体" w:eastAsia="方正小标宋_GBK" w:cs="宋体"/>
          <w:sz w:val="36"/>
          <w:szCs w:val="36"/>
          <w:u w:val="single"/>
        </w:rPr>
        <w:t xml:space="preserve"> </w:t>
      </w:r>
      <w:r>
        <w:rPr>
          <w:rFonts w:ascii="方正小标宋_GBK" w:hAnsi="宋体" w:eastAsia="方正小标宋_GBK" w:cs="宋体"/>
          <w:sz w:val="36"/>
          <w:szCs w:val="36"/>
          <w:u w:val="single"/>
        </w:rPr>
        <w:t xml:space="preserve">                                  </w:t>
      </w:r>
    </w:p>
    <w:p>
      <w:pPr>
        <w:rPr>
          <w:rFonts w:ascii="方正小标宋_GBK" w:hAnsi="宋体" w:eastAsia="方正小标宋_GBK" w:cs="宋体"/>
          <w:sz w:val="36"/>
          <w:szCs w:val="36"/>
        </w:rPr>
      </w:pPr>
    </w:p>
    <w:p>
      <w:pPr>
        <w:rPr>
          <w:rFonts w:ascii="方正小标宋_GBK" w:hAnsi="宋体" w:eastAsia="方正小标宋_GBK" w:cs="宋体"/>
          <w:sz w:val="36"/>
          <w:szCs w:val="36"/>
        </w:rPr>
      </w:pPr>
    </w:p>
    <w:p>
      <w:pPr>
        <w:rPr>
          <w:rFonts w:ascii="方正小标宋_GBK" w:hAnsi="宋体" w:eastAsia="方正小标宋_GBK" w:cs="宋体"/>
          <w:sz w:val="36"/>
          <w:szCs w:val="36"/>
        </w:rPr>
      </w:pPr>
    </w:p>
    <w:p>
      <w:pPr>
        <w:rPr>
          <w:rFonts w:ascii="方正小标宋_GBK" w:hAnsi="宋体" w:eastAsia="方正小标宋_GBK" w:cs="宋体"/>
          <w:sz w:val="36"/>
          <w:szCs w:val="36"/>
        </w:rPr>
      </w:pPr>
    </w:p>
    <w:p>
      <w:pPr>
        <w:rPr>
          <w:rFonts w:ascii="方正小标宋_GBK" w:hAnsi="宋体" w:eastAsia="方正小标宋_GBK" w:cs="宋体"/>
          <w:sz w:val="36"/>
          <w:szCs w:val="36"/>
        </w:rPr>
      </w:pPr>
    </w:p>
    <w:p>
      <w:pPr>
        <w:rPr>
          <w:rFonts w:ascii="方正小标宋_GBK" w:hAnsi="宋体" w:eastAsia="方正小标宋_GBK" w:cs="宋体"/>
          <w:sz w:val="36"/>
          <w:szCs w:val="36"/>
        </w:rPr>
      </w:pPr>
    </w:p>
    <w:p>
      <w:pPr>
        <w:rPr>
          <w:rFonts w:ascii="方正小标宋_GBK" w:hAnsi="华文中宋" w:eastAsia="方正小标宋_GBK" w:cs="华文中宋"/>
          <w:sz w:val="44"/>
          <w:szCs w:val="44"/>
        </w:rPr>
      </w:pPr>
    </w:p>
    <w:p>
      <w:pPr>
        <w:ind w:firstLine="960" w:firstLineChars="300"/>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广东省市政行业协会制</w:t>
      </w:r>
    </w:p>
    <w:p>
      <w:pPr>
        <w:widowControl/>
        <w:jc w:val="left"/>
        <w:rPr>
          <w:rFonts w:ascii="方正小标宋_GBK" w:hAnsi="华文中宋" w:eastAsia="方正小标宋_GBK" w:cs="华文中宋"/>
          <w:sz w:val="28"/>
          <w:szCs w:val="28"/>
        </w:rPr>
      </w:pPr>
      <w:r>
        <w:rPr>
          <w:rFonts w:ascii="方正小标宋_GBK" w:hAnsi="华文中宋" w:eastAsia="方正小标宋_GBK" w:cs="华文中宋"/>
          <w:sz w:val="28"/>
          <w:szCs w:val="28"/>
        </w:rPr>
        <w:br w:type="page"/>
      </w:r>
    </w:p>
    <w:p>
      <w:pPr>
        <w:pStyle w:val="8"/>
        <w:rPr>
          <w:rFonts w:ascii="方正小标宋_GBK" w:eastAsia="方正小标宋_GBK"/>
        </w:rPr>
      </w:pPr>
      <w:r>
        <w:rPr>
          <w:rFonts w:hint="eastAsia" w:ascii="方正小标宋_GBK" w:eastAsia="方正小标宋_GBK"/>
        </w:rPr>
        <w:t>绿色施工管理评价</w:t>
      </w:r>
      <w:r>
        <w:rPr>
          <w:rFonts w:hint="eastAsia" w:ascii="方正小标宋_GBK" w:eastAsia="方正小标宋_GBK"/>
          <w:lang w:val="en-US" w:eastAsia="zh-CN"/>
        </w:rPr>
        <w:t>立项</w:t>
      </w:r>
      <w:r>
        <w:rPr>
          <w:rFonts w:hint="eastAsia" w:ascii="方正小标宋_GBK" w:eastAsia="方正小标宋_GBK"/>
        </w:rPr>
        <w:t>自评得分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906"/>
        <w:gridCol w:w="1472"/>
        <w:gridCol w:w="1386"/>
        <w:gridCol w:w="1428"/>
        <w:gridCol w:w="126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17" w:hRule="atLeast"/>
        </w:trPr>
        <w:tc>
          <w:tcPr>
            <w:tcW w:w="1550" w:type="dxa"/>
            <w:vMerge w:val="restart"/>
            <w:vAlign w:val="center"/>
          </w:tcPr>
          <w:p>
            <w:pPr>
              <w:jc w:val="center"/>
              <w:rPr>
                <w:rFonts w:ascii="仿宋" w:hAnsi="仿宋" w:eastAsia="仿宋"/>
                <w:sz w:val="24"/>
              </w:rPr>
            </w:pPr>
            <w:r>
              <w:rPr>
                <w:rFonts w:hint="eastAsia" w:ascii="仿宋" w:hAnsi="仿宋" w:eastAsia="仿宋"/>
                <w:sz w:val="24"/>
              </w:rPr>
              <w:t>序号</w:t>
            </w:r>
          </w:p>
        </w:tc>
        <w:tc>
          <w:tcPr>
            <w:tcW w:w="1906" w:type="dxa"/>
            <w:vMerge w:val="restart"/>
            <w:vAlign w:val="center"/>
          </w:tcPr>
          <w:p>
            <w:pPr>
              <w:jc w:val="center"/>
              <w:rPr>
                <w:rFonts w:ascii="仿宋" w:hAnsi="仿宋" w:eastAsia="仿宋"/>
                <w:sz w:val="24"/>
              </w:rPr>
            </w:pPr>
            <w:r>
              <w:rPr>
                <w:rFonts w:hint="eastAsia" w:ascii="仿宋" w:hAnsi="仿宋" w:eastAsia="仿宋"/>
                <w:sz w:val="24"/>
              </w:rPr>
              <w:t>评价要素</w:t>
            </w:r>
          </w:p>
        </w:tc>
        <w:tc>
          <w:tcPr>
            <w:tcW w:w="5551" w:type="dxa"/>
            <w:gridSpan w:val="4"/>
            <w:vAlign w:val="center"/>
          </w:tcPr>
          <w:p>
            <w:pPr>
              <w:jc w:val="center"/>
              <w:rPr>
                <w:rFonts w:ascii="仿宋" w:hAnsi="仿宋" w:eastAsia="仿宋"/>
                <w:sz w:val="24"/>
              </w:rPr>
            </w:pPr>
            <w:r>
              <w:rPr>
                <w:rFonts w:hint="eastAsia" w:ascii="仿宋" w:hAnsi="仿宋" w:eastAsia="仿宋"/>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3" w:hRule="atLeast"/>
        </w:trPr>
        <w:tc>
          <w:tcPr>
            <w:tcW w:w="1550" w:type="dxa"/>
            <w:vMerge w:val="continue"/>
            <w:vAlign w:val="center"/>
          </w:tcPr>
          <w:p>
            <w:pPr>
              <w:jc w:val="center"/>
              <w:rPr>
                <w:rFonts w:ascii="仿宋" w:hAnsi="仿宋" w:eastAsia="仿宋"/>
                <w:sz w:val="24"/>
              </w:rPr>
            </w:pPr>
          </w:p>
        </w:tc>
        <w:tc>
          <w:tcPr>
            <w:tcW w:w="1906" w:type="dxa"/>
            <w:vMerge w:val="continue"/>
            <w:vAlign w:val="center"/>
          </w:tcPr>
          <w:p>
            <w:pPr>
              <w:jc w:val="center"/>
              <w:rPr>
                <w:rFonts w:ascii="仿宋" w:hAnsi="仿宋" w:eastAsia="仿宋"/>
                <w:sz w:val="24"/>
              </w:rPr>
            </w:pPr>
          </w:p>
        </w:tc>
        <w:tc>
          <w:tcPr>
            <w:tcW w:w="1472" w:type="dxa"/>
            <w:vAlign w:val="center"/>
          </w:tcPr>
          <w:p>
            <w:pPr>
              <w:jc w:val="center"/>
              <w:rPr>
                <w:rFonts w:ascii="仿宋" w:hAnsi="仿宋" w:eastAsia="仿宋"/>
                <w:sz w:val="24"/>
              </w:rPr>
            </w:pPr>
            <w:r>
              <w:rPr>
                <w:rFonts w:hint="eastAsia" w:ascii="仿宋" w:hAnsi="仿宋" w:eastAsia="仿宋"/>
                <w:sz w:val="24"/>
              </w:rPr>
              <w:t>一般项</w:t>
            </w:r>
          </w:p>
        </w:tc>
        <w:tc>
          <w:tcPr>
            <w:tcW w:w="1386" w:type="dxa"/>
            <w:vAlign w:val="center"/>
          </w:tcPr>
          <w:p>
            <w:pPr>
              <w:jc w:val="center"/>
              <w:rPr>
                <w:rFonts w:ascii="仿宋" w:hAnsi="仿宋" w:eastAsia="仿宋"/>
                <w:sz w:val="24"/>
              </w:rPr>
            </w:pPr>
            <w:r>
              <w:rPr>
                <w:rFonts w:hint="eastAsia" w:ascii="仿宋" w:hAnsi="仿宋" w:eastAsia="仿宋"/>
                <w:sz w:val="24"/>
              </w:rPr>
              <w:t>优选项</w:t>
            </w:r>
          </w:p>
        </w:tc>
        <w:tc>
          <w:tcPr>
            <w:tcW w:w="1428" w:type="dxa"/>
            <w:vAlign w:val="center"/>
          </w:tcPr>
          <w:p>
            <w:pPr>
              <w:jc w:val="center"/>
              <w:rPr>
                <w:rFonts w:ascii="仿宋" w:hAnsi="仿宋" w:eastAsia="仿宋"/>
                <w:sz w:val="24"/>
              </w:rPr>
            </w:pPr>
            <w:r>
              <w:rPr>
                <w:rFonts w:hint="eastAsia" w:ascii="仿宋" w:hAnsi="仿宋" w:eastAsia="仿宋"/>
                <w:sz w:val="24"/>
              </w:rPr>
              <w:t>总分权重系数</w:t>
            </w:r>
          </w:p>
        </w:tc>
        <w:tc>
          <w:tcPr>
            <w:tcW w:w="1265" w:type="dxa"/>
            <w:vAlign w:val="center"/>
          </w:tcPr>
          <w:p>
            <w:pPr>
              <w:jc w:val="center"/>
              <w:rPr>
                <w:rFonts w:ascii="仿宋" w:hAnsi="仿宋" w:eastAsia="仿宋"/>
                <w:sz w:val="24"/>
              </w:rPr>
            </w:pPr>
            <w:r>
              <w:rPr>
                <w:rFonts w:hint="eastAsia" w:ascii="仿宋" w:hAnsi="仿宋" w:eastAsia="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NO:GDSZ-1</w:t>
            </w:r>
          </w:p>
        </w:tc>
        <w:tc>
          <w:tcPr>
            <w:tcW w:w="1906" w:type="dxa"/>
            <w:vAlign w:val="center"/>
          </w:tcPr>
          <w:p>
            <w:pPr>
              <w:jc w:val="center"/>
              <w:rPr>
                <w:rFonts w:ascii="仿宋" w:hAnsi="仿宋" w:eastAsia="仿宋"/>
                <w:sz w:val="24"/>
              </w:rPr>
            </w:pPr>
            <w:r>
              <w:rPr>
                <w:rFonts w:hint="eastAsia" w:ascii="仿宋" w:hAnsi="仿宋" w:eastAsia="仿宋"/>
                <w:sz w:val="24"/>
              </w:rPr>
              <w:t>绿色施工管理</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restart"/>
            <w:vAlign w:val="center"/>
          </w:tcPr>
          <w:p>
            <w:pPr>
              <w:jc w:val="left"/>
              <w:rPr>
                <w:rFonts w:hint="eastAsia" w:ascii="微软雅黑" w:eastAsia="微软雅黑"/>
                <w:sz w:val="21"/>
                <w:szCs w:val="21"/>
                <w:lang w:eastAsia="zh-CN"/>
              </w:rPr>
            </w:pPr>
            <w:r>
              <w:rPr>
                <w:rFonts w:hint="eastAsia" w:ascii="微软雅黑" w:eastAsia="微软雅黑"/>
                <w:sz w:val="21"/>
                <w:szCs w:val="21"/>
                <w:lang w:eastAsia="zh-CN"/>
              </w:rPr>
              <w:t>按</w:t>
            </w:r>
            <w:r>
              <w:rPr>
                <w:rFonts w:hint="eastAsia" w:ascii="微软雅黑" w:eastAsia="微软雅黑"/>
                <w:sz w:val="21"/>
                <w:szCs w:val="21"/>
                <w:lang w:val="en-US" w:eastAsia="zh-CN"/>
              </w:rPr>
              <w:t>附件4</w:t>
            </w:r>
            <w:r>
              <w:rPr>
                <w:rFonts w:hint="eastAsia" w:ascii="微软雅黑" w:eastAsia="微软雅黑"/>
                <w:sz w:val="21"/>
                <w:szCs w:val="21"/>
                <w:lang w:eastAsia="zh-CN"/>
              </w:rPr>
              <w:t>对应取值</w:t>
            </w:r>
          </w:p>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NO:GDSZ-2</w:t>
            </w:r>
          </w:p>
        </w:tc>
        <w:tc>
          <w:tcPr>
            <w:tcW w:w="1906" w:type="dxa"/>
            <w:vAlign w:val="center"/>
          </w:tcPr>
          <w:p>
            <w:pPr>
              <w:jc w:val="center"/>
              <w:rPr>
                <w:rFonts w:ascii="仿宋" w:hAnsi="仿宋" w:eastAsia="仿宋"/>
                <w:sz w:val="24"/>
              </w:rPr>
            </w:pPr>
            <w:r>
              <w:rPr>
                <w:rFonts w:hint="eastAsia" w:ascii="仿宋" w:hAnsi="仿宋" w:eastAsia="仿宋"/>
                <w:sz w:val="24"/>
              </w:rPr>
              <w:t>环境保护</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continue"/>
            <w:vAlign w:val="center"/>
          </w:tcPr>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NO:GDSZ-3</w:t>
            </w:r>
          </w:p>
        </w:tc>
        <w:tc>
          <w:tcPr>
            <w:tcW w:w="1906" w:type="dxa"/>
            <w:vAlign w:val="center"/>
          </w:tcPr>
          <w:p>
            <w:pPr>
              <w:jc w:val="center"/>
              <w:rPr>
                <w:rFonts w:ascii="仿宋" w:hAnsi="仿宋" w:eastAsia="仿宋"/>
                <w:sz w:val="24"/>
              </w:rPr>
            </w:pPr>
            <w:r>
              <w:rPr>
                <w:rFonts w:hint="eastAsia" w:ascii="仿宋" w:hAnsi="仿宋" w:eastAsia="仿宋"/>
                <w:sz w:val="24"/>
              </w:rPr>
              <w:t>节材与材料资源利用</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continue"/>
            <w:vAlign w:val="center"/>
          </w:tcPr>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NO:GDSZ-4</w:t>
            </w:r>
          </w:p>
        </w:tc>
        <w:tc>
          <w:tcPr>
            <w:tcW w:w="1906" w:type="dxa"/>
            <w:vAlign w:val="center"/>
          </w:tcPr>
          <w:p>
            <w:pPr>
              <w:jc w:val="center"/>
              <w:rPr>
                <w:rFonts w:ascii="仿宋" w:hAnsi="仿宋" w:eastAsia="仿宋"/>
                <w:sz w:val="24"/>
              </w:rPr>
            </w:pPr>
            <w:r>
              <w:rPr>
                <w:rFonts w:hint="eastAsia" w:ascii="仿宋" w:hAnsi="仿宋" w:eastAsia="仿宋"/>
                <w:sz w:val="24"/>
              </w:rPr>
              <w:t>节水与水资源利用</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continue"/>
            <w:vAlign w:val="center"/>
          </w:tcPr>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NO:GDSZ-5</w:t>
            </w:r>
          </w:p>
        </w:tc>
        <w:tc>
          <w:tcPr>
            <w:tcW w:w="1906" w:type="dxa"/>
            <w:vAlign w:val="center"/>
          </w:tcPr>
          <w:p>
            <w:pPr>
              <w:jc w:val="center"/>
              <w:rPr>
                <w:rFonts w:ascii="仿宋" w:hAnsi="仿宋" w:eastAsia="仿宋"/>
                <w:sz w:val="24"/>
              </w:rPr>
            </w:pPr>
            <w:r>
              <w:rPr>
                <w:rFonts w:hint="eastAsia" w:ascii="仿宋" w:hAnsi="仿宋" w:eastAsia="仿宋"/>
                <w:sz w:val="24"/>
              </w:rPr>
              <w:t>节能与能源利用</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continue"/>
            <w:vAlign w:val="center"/>
          </w:tcPr>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36" w:hRule="atLeast"/>
        </w:trPr>
        <w:tc>
          <w:tcPr>
            <w:tcW w:w="1550" w:type="dxa"/>
            <w:vAlign w:val="center"/>
          </w:tcPr>
          <w:p>
            <w:pPr>
              <w:jc w:val="center"/>
              <w:outlineLvl w:val="0"/>
              <w:rPr>
                <w:rFonts w:ascii="仿宋" w:hAnsi="仿宋" w:eastAsia="仿宋" w:cs="华文中宋"/>
                <w:sz w:val="24"/>
              </w:rPr>
            </w:pPr>
            <w:r>
              <w:rPr>
                <w:rFonts w:ascii="仿宋" w:hAnsi="仿宋" w:eastAsia="仿宋" w:cs="华文中宋"/>
                <w:sz w:val="24"/>
              </w:rPr>
              <w:t>NO:GDSZ-6</w:t>
            </w:r>
          </w:p>
        </w:tc>
        <w:tc>
          <w:tcPr>
            <w:tcW w:w="1906" w:type="dxa"/>
            <w:vAlign w:val="center"/>
          </w:tcPr>
          <w:p>
            <w:pPr>
              <w:jc w:val="center"/>
              <w:rPr>
                <w:rFonts w:ascii="仿宋" w:hAnsi="仿宋" w:eastAsia="仿宋"/>
                <w:sz w:val="24"/>
              </w:rPr>
            </w:pPr>
            <w:r>
              <w:rPr>
                <w:rFonts w:hint="eastAsia" w:ascii="仿宋" w:hAnsi="仿宋" w:eastAsia="仿宋"/>
                <w:sz w:val="24"/>
              </w:rPr>
              <w:t>节地与土地资源保护</w:t>
            </w:r>
          </w:p>
        </w:tc>
        <w:tc>
          <w:tcPr>
            <w:tcW w:w="1472" w:type="dxa"/>
            <w:vAlign w:val="center"/>
          </w:tcPr>
          <w:p>
            <w:pPr>
              <w:jc w:val="center"/>
              <w:rPr>
                <w:rFonts w:ascii="仿宋" w:hAnsi="仿宋" w:eastAsia="仿宋"/>
                <w:sz w:val="24"/>
              </w:rPr>
            </w:pPr>
          </w:p>
        </w:tc>
        <w:tc>
          <w:tcPr>
            <w:tcW w:w="1386" w:type="dxa"/>
            <w:vAlign w:val="center"/>
          </w:tcPr>
          <w:p>
            <w:pPr>
              <w:jc w:val="center"/>
              <w:rPr>
                <w:rFonts w:ascii="仿宋" w:hAnsi="仿宋" w:eastAsia="仿宋"/>
                <w:sz w:val="24"/>
              </w:rPr>
            </w:pPr>
          </w:p>
        </w:tc>
        <w:tc>
          <w:tcPr>
            <w:tcW w:w="1428" w:type="dxa"/>
            <w:vMerge w:val="continue"/>
            <w:vAlign w:val="center"/>
          </w:tcPr>
          <w:p>
            <w:pPr>
              <w:jc w:val="center"/>
              <w:rPr>
                <w:rFonts w:ascii="仿宋" w:hAnsi="仿宋" w:eastAsia="仿宋"/>
                <w:sz w:val="24"/>
              </w:rPr>
            </w:pPr>
          </w:p>
        </w:tc>
        <w:tc>
          <w:tcPr>
            <w:tcW w:w="126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456" w:type="dxa"/>
            <w:gridSpan w:val="2"/>
            <w:vAlign w:val="center"/>
          </w:tcPr>
          <w:p>
            <w:pPr>
              <w:jc w:val="center"/>
              <w:rPr>
                <w:rFonts w:ascii="仿宋" w:hAnsi="仿宋" w:eastAsia="仿宋"/>
                <w:b/>
                <w:bCs/>
                <w:sz w:val="24"/>
              </w:rPr>
            </w:pPr>
            <w:r>
              <w:rPr>
                <w:rFonts w:hint="eastAsia" w:ascii="仿宋" w:hAnsi="仿宋" w:eastAsia="仿宋" w:cs="华文中宋"/>
                <w:b/>
                <w:bCs/>
                <w:sz w:val="24"/>
              </w:rPr>
              <w:t>总分</w:t>
            </w:r>
          </w:p>
        </w:tc>
        <w:tc>
          <w:tcPr>
            <w:tcW w:w="5560" w:type="dxa"/>
            <w:gridSpan w:val="5"/>
            <w:vAlign w:val="center"/>
          </w:tcPr>
          <w:p>
            <w:pPr>
              <w:jc w:val="center"/>
              <w:rPr>
                <w:rFonts w:ascii="仿宋" w:hAnsi="仿宋" w:eastAsia="仿宋"/>
                <w:sz w:val="24"/>
              </w:rPr>
            </w:pPr>
          </w:p>
        </w:tc>
      </w:tr>
    </w:tbl>
    <w:p/>
    <w:p>
      <w:pPr>
        <w:widowControl/>
        <w:spacing w:line="500" w:lineRule="exact"/>
        <w:jc w:val="left"/>
        <w:rPr>
          <w:rFonts w:hint="eastAsia" w:ascii="华文中宋" w:hAnsi="华文中宋" w:eastAsia="华文中宋" w:cs="华文中宋"/>
          <w:b/>
          <w:bCs/>
          <w:sz w:val="22"/>
          <w:szCs w:val="22"/>
          <w:lang w:eastAsia="zh-CN"/>
        </w:rPr>
      </w:pPr>
      <w:r>
        <w:rPr>
          <w:rFonts w:hint="eastAsia" w:ascii="华文中宋" w:hAnsi="华文中宋" w:eastAsia="华文中宋" w:cs="华文中宋"/>
          <w:sz w:val="22"/>
          <w:szCs w:val="22"/>
        </w:rPr>
        <w:t>注：1</w:t>
      </w:r>
      <w:r>
        <w:rPr>
          <w:rFonts w:ascii="华文中宋" w:hAnsi="华文中宋" w:eastAsia="华文中宋" w:cs="华文中宋"/>
          <w:sz w:val="22"/>
          <w:szCs w:val="22"/>
        </w:rPr>
        <w:t>.</w:t>
      </w:r>
      <w:r>
        <w:rPr>
          <w:rFonts w:hint="eastAsia" w:ascii="华文中宋" w:hAnsi="华文中宋" w:eastAsia="华文中宋" w:cs="华文中宋"/>
          <w:sz w:val="22"/>
          <w:szCs w:val="22"/>
        </w:rPr>
        <w:t>请如实根据项目情况填写自评分表</w:t>
      </w:r>
      <w:r>
        <w:rPr>
          <w:rFonts w:hint="eastAsia" w:ascii="华文中宋" w:hAnsi="华文中宋" w:eastAsia="华文中宋" w:cs="华文中宋"/>
          <w:b/>
          <w:bCs/>
          <w:sz w:val="22"/>
          <w:szCs w:val="22"/>
          <w:lang w:eastAsia="zh-CN"/>
        </w:rPr>
        <w:t>（工程开始施工至立项审查前）</w:t>
      </w:r>
    </w:p>
    <w:p>
      <w:pPr>
        <w:widowControl/>
        <w:spacing w:line="500" w:lineRule="exact"/>
        <w:ind w:firstLine="450"/>
        <w:jc w:val="left"/>
        <w:rPr>
          <w:rFonts w:ascii="华文中宋" w:hAnsi="华文中宋" w:eastAsia="华文中宋" w:cs="华文中宋"/>
          <w:sz w:val="22"/>
          <w:szCs w:val="22"/>
        </w:rPr>
      </w:pPr>
      <w:r>
        <w:rPr>
          <w:rFonts w:ascii="华文中宋" w:hAnsi="华文中宋" w:eastAsia="华文中宋" w:cs="华文中宋"/>
          <w:sz w:val="22"/>
          <w:szCs w:val="22"/>
        </w:rPr>
        <w:t>2.</w:t>
      </w:r>
      <w:r>
        <w:rPr>
          <w:rFonts w:hint="eastAsia" w:ascii="华文中宋" w:hAnsi="华文中宋" w:eastAsia="华文中宋" w:cs="华文中宋"/>
          <w:sz w:val="22"/>
          <w:szCs w:val="22"/>
        </w:rPr>
        <w:t>控制项请填写</w:t>
      </w:r>
      <w:r>
        <w:rPr>
          <w:rFonts w:hint="eastAsia" w:ascii="华文中宋" w:hAnsi="华文中宋" w:eastAsia="华文中宋" w:cs="华文中宋"/>
          <w:sz w:val="22"/>
          <w:szCs w:val="22"/>
          <w:highlight w:val="none"/>
        </w:rPr>
        <w:t>是否符合要求</w:t>
      </w:r>
    </w:p>
    <w:p>
      <w:pPr>
        <w:widowControl/>
        <w:spacing w:line="500" w:lineRule="exact"/>
        <w:ind w:firstLine="450"/>
        <w:jc w:val="left"/>
        <w:rPr>
          <w:rFonts w:ascii="华文中宋" w:hAnsi="华文中宋" w:eastAsia="华文中宋" w:cs="华文中宋"/>
          <w:sz w:val="22"/>
          <w:szCs w:val="22"/>
        </w:rPr>
      </w:pPr>
      <w:r>
        <w:rPr>
          <w:rFonts w:ascii="华文中宋" w:hAnsi="华文中宋" w:eastAsia="华文中宋" w:cs="华文中宋"/>
          <w:sz w:val="22"/>
          <w:szCs w:val="22"/>
        </w:rPr>
        <w:t>3.</w:t>
      </w:r>
      <w:r>
        <w:rPr>
          <w:rFonts w:hint="eastAsia" w:ascii="华文中宋" w:hAnsi="华文中宋" w:eastAsia="华文中宋" w:cs="华文中宋"/>
          <w:sz w:val="22"/>
          <w:szCs w:val="22"/>
        </w:rPr>
        <w:t>一般项计分标准：（1）措施到位，完全满足考评指标要求，得5分；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（2）措施基本到位，较好地满足考评指标要求，得3分或4分；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（3）措施部分满足考评要求，得1分或2分；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（4）措施不到位，不满足考评指标要求，得0分；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（5）项目未涉及或不适用于该工程，请打“/”。</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4</w:t>
      </w:r>
      <w:r>
        <w:rPr>
          <w:rFonts w:ascii="华文中宋" w:hAnsi="华文中宋" w:eastAsia="华文中宋" w:cs="华文中宋"/>
          <w:sz w:val="22"/>
          <w:szCs w:val="22"/>
        </w:rPr>
        <w:t>.</w:t>
      </w:r>
      <w:r>
        <w:rPr>
          <w:rFonts w:hint="eastAsia" w:ascii="华文中宋" w:hAnsi="华文中宋" w:eastAsia="华文中宋" w:cs="华文中宋"/>
          <w:sz w:val="22"/>
          <w:szCs w:val="22"/>
        </w:rPr>
        <w:t>一般项计分公式：一般项得分=1</w:t>
      </w:r>
      <w:r>
        <w:rPr>
          <w:rFonts w:ascii="华文中宋" w:hAnsi="华文中宋" w:eastAsia="华文中宋" w:cs="华文中宋"/>
          <w:sz w:val="22"/>
          <w:szCs w:val="22"/>
        </w:rPr>
        <w:t>00*</w:t>
      </w:r>
      <w:r>
        <w:rPr>
          <w:rFonts w:hint="eastAsia" w:ascii="华文中宋" w:hAnsi="华文中宋" w:eastAsia="华文中宋" w:cs="华文中宋"/>
          <w:sz w:val="22"/>
          <w:szCs w:val="22"/>
          <w:lang w:eastAsia="zh-CN"/>
        </w:rPr>
        <w:t>实</w:t>
      </w:r>
      <w:r>
        <w:rPr>
          <w:rFonts w:hint="eastAsia" w:ascii="华文中宋" w:hAnsi="华文中宋" w:eastAsia="华文中宋" w:cs="华文中宋"/>
          <w:sz w:val="22"/>
          <w:szCs w:val="22"/>
        </w:rPr>
        <w:t>得分总分/</w:t>
      </w:r>
      <w:r>
        <w:rPr>
          <w:rFonts w:hint="eastAsia" w:ascii="华文中宋" w:hAnsi="华文中宋" w:eastAsia="华文中宋" w:cs="华文中宋"/>
          <w:sz w:val="22"/>
          <w:szCs w:val="22"/>
          <w:lang w:eastAsia="zh-CN"/>
        </w:rPr>
        <w:t>应</w:t>
      </w:r>
      <w:r>
        <w:rPr>
          <w:rFonts w:hint="eastAsia" w:ascii="华文中宋" w:hAnsi="华文中宋" w:eastAsia="华文中宋" w:cs="华文中宋"/>
          <w:sz w:val="22"/>
          <w:szCs w:val="22"/>
        </w:rPr>
        <w:t>得分总分</w:t>
      </w:r>
    </w:p>
    <w:p>
      <w:pPr>
        <w:widowControl/>
        <w:spacing w:line="500" w:lineRule="exact"/>
        <w:ind w:firstLine="450"/>
        <w:jc w:val="left"/>
        <w:rPr>
          <w:rFonts w:ascii="华文中宋" w:hAnsi="华文中宋" w:eastAsia="华文中宋" w:cs="华文中宋"/>
          <w:sz w:val="22"/>
          <w:szCs w:val="22"/>
        </w:rPr>
      </w:pPr>
      <w:r>
        <w:rPr>
          <w:rFonts w:ascii="华文中宋" w:hAnsi="华文中宋" w:eastAsia="华文中宋" w:cs="华文中宋"/>
          <w:sz w:val="22"/>
          <w:szCs w:val="22"/>
        </w:rPr>
        <w:t>5.</w:t>
      </w:r>
      <w:r>
        <w:rPr>
          <w:rFonts w:hint="eastAsia" w:ascii="华文中宋" w:hAnsi="华文中宋" w:eastAsia="华文中宋" w:cs="华文中宋"/>
          <w:sz w:val="22"/>
          <w:szCs w:val="22"/>
        </w:rPr>
        <w:t>优选项加分标准：（1）措施到位，满足考评指标要求，得2分；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（2）措施基本到位，较好地满足考评指标要求，得1分；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 xml:space="preserve"> </w:t>
      </w:r>
      <w:r>
        <w:rPr>
          <w:rFonts w:ascii="华文中宋" w:hAnsi="华文中宋" w:eastAsia="华文中宋" w:cs="华文中宋"/>
          <w:sz w:val="22"/>
          <w:szCs w:val="22"/>
        </w:rPr>
        <w:t xml:space="preserve">                 </w:t>
      </w:r>
      <w:r>
        <w:rPr>
          <w:rFonts w:hint="eastAsia" w:ascii="华文中宋" w:hAnsi="华文中宋" w:eastAsia="华文中宋" w:cs="华文中宋"/>
          <w:sz w:val="22"/>
          <w:szCs w:val="22"/>
        </w:rPr>
        <w:t>（3）措施不到位，或项目未涉及内容，得0分；</w:t>
      </w:r>
    </w:p>
    <w:p>
      <w:pPr>
        <w:widowControl/>
        <w:spacing w:line="500" w:lineRule="exact"/>
        <w:ind w:firstLine="450"/>
        <w:jc w:val="left"/>
        <w:rPr>
          <w:rFonts w:ascii="华文中宋" w:hAnsi="华文中宋" w:eastAsia="华文中宋" w:cs="华文中宋"/>
          <w:sz w:val="22"/>
          <w:szCs w:val="22"/>
        </w:rPr>
      </w:pPr>
      <w:r>
        <w:rPr>
          <w:rFonts w:hint="eastAsia" w:ascii="华文中宋" w:hAnsi="华文中宋" w:eastAsia="华文中宋" w:cs="华文中宋"/>
          <w:sz w:val="22"/>
          <w:szCs w:val="22"/>
        </w:rPr>
        <w:t>6</w:t>
      </w:r>
      <w:r>
        <w:rPr>
          <w:rFonts w:ascii="华文中宋" w:hAnsi="华文中宋" w:eastAsia="华文中宋" w:cs="华文中宋"/>
          <w:sz w:val="22"/>
          <w:szCs w:val="22"/>
        </w:rPr>
        <w:t>.</w:t>
      </w:r>
      <w:r>
        <w:rPr>
          <w:rFonts w:hint="eastAsia" w:ascii="华文中宋" w:hAnsi="华文中宋" w:eastAsia="华文中宋" w:cs="华文中宋"/>
          <w:sz w:val="22"/>
          <w:szCs w:val="22"/>
        </w:rPr>
        <w:t>优选项计分公式：优选项得分=所有优选项得分相加</w:t>
      </w:r>
    </w:p>
    <w:p>
      <w:pPr>
        <w:widowControl/>
        <w:spacing w:line="560" w:lineRule="exact"/>
        <w:jc w:val="left"/>
        <w:rPr>
          <w:rFonts w:ascii="华文中宋" w:hAnsi="华文中宋" w:eastAsia="华文中宋" w:cs="华文中宋"/>
          <w:sz w:val="22"/>
          <w:szCs w:val="22"/>
        </w:rPr>
      </w:pPr>
      <w:r>
        <w:rPr>
          <w:rFonts w:ascii="华文中宋" w:hAnsi="华文中宋" w:eastAsia="华文中宋" w:cs="华文中宋"/>
          <w:sz w:val="22"/>
          <w:szCs w:val="22"/>
        </w:rPr>
        <w:br w:type="page"/>
      </w:r>
    </w:p>
    <w:p>
      <w:pPr>
        <w:outlineLvl w:val="0"/>
        <w:rPr>
          <w:rFonts w:ascii="华文中宋" w:hAnsi="华文中宋" w:eastAsia="华文中宋" w:cs="华文中宋"/>
          <w:sz w:val="22"/>
          <w:szCs w:val="22"/>
        </w:rPr>
      </w:pPr>
      <w:r>
        <w:rPr>
          <w:rFonts w:ascii="华文中宋" w:hAnsi="华文中宋" w:eastAsia="华文中宋" w:cs="华文中宋"/>
          <w:sz w:val="22"/>
          <w:szCs w:val="22"/>
        </w:rPr>
        <w:t>NO:GDSZ-1</w:t>
      </w:r>
    </w:p>
    <w:p>
      <w:pPr>
        <w:ind w:right="-512" w:rightChars="-244"/>
        <w:jc w:val="center"/>
        <w:rPr>
          <w:rFonts w:ascii="方正小标宋_GBK" w:hAnsi="华文中宋" w:eastAsia="方正小标宋_GBK" w:cs="华文中宋"/>
          <w:sz w:val="40"/>
          <w:szCs w:val="40"/>
        </w:rPr>
      </w:pPr>
      <w:r>
        <w:rPr>
          <w:rFonts w:hint="eastAsia" w:ascii="方正小标宋_GBK" w:hAnsi="华文中宋" w:eastAsia="方正小标宋_GBK" w:cs="华文中宋"/>
          <w:sz w:val="32"/>
          <w:szCs w:val="32"/>
        </w:rPr>
        <w:t>绿色施工要素评价表（绿色施工管理）</w:t>
      </w:r>
    </w:p>
    <w:tbl>
      <w:tblPr>
        <w:tblStyle w:val="9"/>
        <w:tblW w:w="10095" w:type="dxa"/>
        <w:jc w:val="center"/>
        <w:tblLayout w:type="autofit"/>
        <w:tblCellMar>
          <w:top w:w="0" w:type="dxa"/>
          <w:left w:w="0" w:type="dxa"/>
          <w:bottom w:w="0" w:type="dxa"/>
          <w:right w:w="0" w:type="dxa"/>
        </w:tblCellMar>
      </w:tblPr>
      <w:tblGrid>
        <w:gridCol w:w="995"/>
        <w:gridCol w:w="6945"/>
        <w:gridCol w:w="1077"/>
        <w:gridCol w:w="1078"/>
      </w:tblGrid>
      <w:tr>
        <w:tblPrEx>
          <w:tblCellMar>
            <w:top w:w="0" w:type="dxa"/>
            <w:left w:w="0" w:type="dxa"/>
            <w:bottom w:w="0" w:type="dxa"/>
            <w:right w:w="0" w:type="dxa"/>
          </w:tblCellMar>
        </w:tblPrEx>
        <w:trPr>
          <w:trHeight w:val="498"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1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val="en-US" w:eastAsia="zh-CN"/>
              </w:rPr>
              <w:t>1</w:t>
            </w:r>
            <w:r>
              <w:rPr>
                <w:rFonts w:hint="eastAsia" w:ascii="仿宋" w:hAnsi="仿宋" w:eastAsia="仿宋" w:cs="宋体"/>
                <w:b/>
                <w:color w:val="000000"/>
                <w:kern w:val="0"/>
                <w:szCs w:val="21"/>
              </w:rPr>
              <w:t xml:space="preserve"> 绿色施工管理评价</w:t>
            </w:r>
          </w:p>
        </w:tc>
      </w:tr>
      <w:tr>
        <w:tblPrEx>
          <w:tblCellMar>
            <w:top w:w="0" w:type="dxa"/>
            <w:left w:w="0" w:type="dxa"/>
            <w:bottom w:w="0" w:type="dxa"/>
            <w:right w:w="0" w:type="dxa"/>
          </w:tblCellMar>
        </w:tblPrEx>
        <w:trPr>
          <w:trHeight w:val="398"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398"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p>
        </w:tc>
        <w:tc>
          <w:tcPr>
            <w:tcW w:w="6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43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bookmarkStart w:id="0" w:name="_GoBack" w:colFirst="1" w:colLast="1"/>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.1.1 项目部应建立绿色施工管理体系和管理制度，实施目标管理。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60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.1.2 施工组织设计及施工方案应有专门的绿色施工章节，内容涵盖绿色施工管理和“四节一环保”要求。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76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.1.3 施工组织设计及施工方案应参考现行国家标准《建筑施工安全检查标准》JGJ 59、2018-275的有关规定，并制定职业健康安全等突发事件的应急预案。</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宋体"/>
                <w:color w:val="000000"/>
                <w:szCs w:val="21"/>
              </w:rPr>
            </w:pPr>
          </w:p>
        </w:tc>
      </w:tr>
      <w:bookmarkEnd w:id="0"/>
      <w:tr>
        <w:tblPrEx>
          <w:tblCellMar>
            <w:top w:w="0" w:type="dxa"/>
            <w:left w:w="0" w:type="dxa"/>
            <w:bottom w:w="0" w:type="dxa"/>
            <w:right w:w="0" w:type="dxa"/>
          </w:tblCellMar>
        </w:tblPrEx>
        <w:trPr>
          <w:trHeight w:val="448"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.1.4 项目部应建立绿色施工培训制度，并有实施记录。</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.1.5 应采集和保存过程管理资料、见证资料和自验评价记录等绿色施工资料；应采集能够反映绿色施工水平的典型图片或影像资料。</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15"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36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 施工现场资料应采用电子化。</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.2.2 应根据绿色施工要求进行图纸会审和深化设计。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.2.3 工程技术交底应包含绿色施工内容。</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.2.4 应根据绿色施工检查情况，制定持续改进措施。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.2.5 人员职业健康安全管理应符合下列规定：</w:t>
            </w:r>
          </w:p>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施工作业区和生活办公区分开布置，生活设施远离有毒有害物质。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现场工人劳动强度和工作时间符合现行国家标准《体力劳动强度等级》GB 3869的有关规定。</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从事有毒、有害、有刺激性气味和强光、强噪音施工的人员佩戴相应的防护器具。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深井、密闭环境、防水和室内装修、有限空间作业施工有自然通风或临时通风设施。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高温作业时，施工现场配备防暑降温用品，合理安排工人作息时间。</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5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6 现场危险设备、地段、有毒物品存放地配置醒目安全标志。</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39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7 厕所、卫生设施、排水沟及阴暗潮湿地带定期消毒。</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8 现场食堂有卫生许可证，炊事员应定期健康检查并持有效健康证明。</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367"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9 施工现场人员膳食、饮水、休息场所符合卫生标准。</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34"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10 生活区设置密闭式容器，垃圾分类存放，定期灭蝇，及时清运。</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1496"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4.2.6 人员安全管理符合下列规定：</w:t>
            </w:r>
          </w:p>
          <w:p>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施工现场入口处、施工起重机械、临时用电设施、脚手架、出入通道口、楼梯口、电梯井口、孔洞口、基坑边沿、高处作业、爆破施工、爆破物品及有害危险气体和液体存放处等危险部位，设置明显的安全警示标志。</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746"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rPr>
              <w:t>2 根据不同施工阶段和周围环境及季节、气候的变化，在施工现场采取相应的安全施工措施。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82"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.3.1 施工现场设置绿色施工宣传栏。</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712"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shd w:val="clear" w:color="auto" w:fill="auto"/>
              </w:rPr>
            </w:pPr>
            <w:r>
              <w:rPr>
                <w:rFonts w:hint="eastAsia" w:ascii="仿宋" w:hAnsi="仿宋" w:eastAsia="仿宋" w:cs="宋体"/>
                <w:color w:val="000000"/>
                <w:kern w:val="0"/>
                <w:szCs w:val="21"/>
                <w:shd w:val="clear" w:color="auto" w:fill="auto"/>
                <w:lang w:val="en-US" w:eastAsia="zh-CN"/>
              </w:rPr>
              <w:t>1</w:t>
            </w:r>
            <w:r>
              <w:rPr>
                <w:rFonts w:hint="eastAsia" w:ascii="仿宋" w:hAnsi="仿宋" w:eastAsia="仿宋" w:cs="宋体"/>
                <w:color w:val="000000"/>
                <w:kern w:val="0"/>
                <w:szCs w:val="21"/>
                <w:shd w:val="clear" w:color="auto" w:fill="auto"/>
              </w:rPr>
              <w:t>.3.2 开展绿色施工新技术、新设备、新材料、新工艺的研究、开发和推广。</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79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shd w:val="clear" w:color="auto" w:fill="auto"/>
              </w:rPr>
            </w:pPr>
            <w:r>
              <w:rPr>
                <w:rFonts w:hint="eastAsia" w:ascii="仿宋" w:hAnsi="仿宋" w:eastAsia="仿宋" w:cs="宋体"/>
                <w:color w:val="000000"/>
                <w:kern w:val="0"/>
                <w:szCs w:val="21"/>
                <w:shd w:val="clear" w:color="auto" w:fill="auto"/>
                <w:lang w:val="en-US" w:eastAsia="zh-CN"/>
              </w:rPr>
              <w:t>1</w:t>
            </w:r>
            <w:r>
              <w:rPr>
                <w:rFonts w:hint="eastAsia" w:ascii="仿宋" w:hAnsi="仿宋" w:eastAsia="仿宋" w:cs="宋体"/>
                <w:color w:val="000000"/>
                <w:kern w:val="0"/>
                <w:szCs w:val="21"/>
                <w:shd w:val="clear" w:color="auto" w:fill="auto"/>
              </w:rPr>
              <w:t>.3.3 结合项目特点和规模，成立绿色施工专家委员会，对绿色施工方案和实施的全过程进行咨询、研究、决策和评估。</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32"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.3.4 针对绿色施工内容开展QC活动。</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46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.3.5 采用BIM技术优化施工方案。</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15" w:hRule="atLeast"/>
          <w:jc w:val="center"/>
        </w:trPr>
        <w:tc>
          <w:tcPr>
            <w:tcW w:w="9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shd w:val="clear" w:color="auto" w:fill="auto"/>
              </w:rPr>
            </w:pPr>
            <w:r>
              <w:rPr>
                <w:rFonts w:hint="eastAsia" w:ascii="仿宋" w:hAnsi="仿宋" w:eastAsia="仿宋" w:cs="宋体"/>
                <w:color w:val="000000"/>
                <w:kern w:val="0"/>
                <w:szCs w:val="21"/>
                <w:shd w:val="clear" w:color="auto" w:fill="auto"/>
              </w:rPr>
              <w:t>控制项：</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r>
      <w:tr>
        <w:tblPrEx>
          <w:tblCellMar>
            <w:top w:w="0" w:type="dxa"/>
            <w:left w:w="0" w:type="dxa"/>
            <w:bottom w:w="0" w:type="dxa"/>
            <w:right w:w="0" w:type="dxa"/>
          </w:tblCellMar>
        </w:tblPrEx>
        <w:trPr>
          <w:trHeight w:val="520" w:hRule="atLeast"/>
          <w:jc w:val="center"/>
        </w:trPr>
        <w:tc>
          <w:tcPr>
            <w:tcW w:w="9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shd w:val="clear" w:color="auto" w:fill="auto"/>
              </w:rPr>
            </w:pPr>
            <w:r>
              <w:rPr>
                <w:rFonts w:hint="eastAsia" w:ascii="仿宋" w:hAnsi="仿宋" w:eastAsia="仿宋" w:cs="宋体"/>
                <w:color w:val="000000"/>
                <w:kern w:val="0"/>
                <w:szCs w:val="21"/>
                <w:shd w:val="clear" w:color="auto" w:fill="auto"/>
              </w:rPr>
              <w:t>一般项折算得分：</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465" w:hRule="atLeast"/>
          <w:jc w:val="center"/>
        </w:trPr>
        <w:tc>
          <w:tcPr>
            <w:tcW w:w="9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仿宋" w:hAnsi="仿宋" w:eastAsia="仿宋" w:cs="宋体"/>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宋体"/>
                <w:color w:val="000000"/>
                <w:szCs w:val="21"/>
                <w:shd w:val="clear" w:color="auto" w:fill="auto"/>
              </w:rPr>
            </w:pPr>
            <w:r>
              <w:rPr>
                <w:rFonts w:hint="eastAsia" w:ascii="仿宋" w:hAnsi="仿宋" w:eastAsia="仿宋" w:cs="宋体"/>
                <w:color w:val="000000"/>
                <w:kern w:val="0"/>
                <w:szCs w:val="21"/>
                <w:shd w:val="clear" w:color="auto" w:fill="auto"/>
              </w:rPr>
              <w:t>优选项加分：</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p>
        </w:tc>
      </w:tr>
    </w:tbl>
    <w:p>
      <w:pPr>
        <w:ind w:right="-512" w:rightChars="-244"/>
        <w:rPr>
          <w:rFonts w:ascii="华文中宋" w:hAnsi="华文中宋" w:eastAsia="华文中宋" w:cs="华文中宋"/>
          <w:sz w:val="40"/>
          <w:szCs w:val="40"/>
        </w:rPr>
      </w:pPr>
    </w:p>
    <w:p>
      <w:pPr>
        <w:ind w:right="-512" w:rightChars="-244"/>
        <w:jc w:val="center"/>
        <w:rPr>
          <w:rFonts w:ascii="华文中宋" w:hAnsi="华文中宋" w:eastAsia="华文中宋" w:cs="华文中宋"/>
          <w:sz w:val="40"/>
          <w:szCs w:val="40"/>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r>
        <w:rPr>
          <w:rFonts w:ascii="华文中宋" w:hAnsi="华文中宋" w:eastAsia="华文中宋" w:cs="华文中宋"/>
          <w:sz w:val="22"/>
          <w:szCs w:val="22"/>
        </w:rPr>
        <w:t>NO:GDSZ-2</w:t>
      </w:r>
    </w:p>
    <w:p>
      <w:pPr>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绿色施工要素评价表（环境保护）</w:t>
      </w:r>
    </w:p>
    <w:tbl>
      <w:tblPr>
        <w:tblStyle w:val="9"/>
        <w:tblW w:w="10095" w:type="dxa"/>
        <w:jc w:val="center"/>
        <w:tblLayout w:type="autofit"/>
        <w:tblCellMar>
          <w:top w:w="0" w:type="dxa"/>
          <w:left w:w="0" w:type="dxa"/>
          <w:bottom w:w="0" w:type="dxa"/>
          <w:right w:w="0" w:type="dxa"/>
        </w:tblCellMar>
      </w:tblPr>
      <w:tblGrid>
        <w:gridCol w:w="1079"/>
        <w:gridCol w:w="6426"/>
        <w:gridCol w:w="1286"/>
        <w:gridCol w:w="9"/>
        <w:gridCol w:w="1295"/>
      </w:tblGrid>
      <w:tr>
        <w:tblPrEx>
          <w:tblCellMar>
            <w:top w:w="0" w:type="dxa"/>
            <w:left w:w="0" w:type="dxa"/>
            <w:bottom w:w="0" w:type="dxa"/>
            <w:right w:w="0" w:type="dxa"/>
          </w:tblCellMar>
        </w:tblPrEx>
        <w:trPr>
          <w:trHeight w:val="45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0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val="en-US" w:eastAsia="zh-CN"/>
              </w:rPr>
              <w:t>2</w:t>
            </w:r>
            <w:r>
              <w:rPr>
                <w:rFonts w:hint="eastAsia" w:ascii="仿宋" w:hAnsi="仿宋" w:eastAsia="仿宋" w:cs="宋体"/>
                <w:b/>
                <w:color w:val="000000"/>
                <w:kern w:val="0"/>
                <w:szCs w:val="21"/>
              </w:rPr>
              <w:t xml:space="preserve"> 环境保护评价指标</w:t>
            </w:r>
          </w:p>
        </w:tc>
      </w:tr>
      <w:tr>
        <w:tblPrEx>
          <w:tblCellMar>
            <w:top w:w="0" w:type="dxa"/>
            <w:left w:w="0" w:type="dxa"/>
            <w:bottom w:w="0" w:type="dxa"/>
            <w:right w:w="0" w:type="dxa"/>
          </w:tblCellMar>
        </w:tblPrEx>
        <w:trPr>
          <w:trHeight w:val="454"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4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409"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.1.1 现场施工标牌应反映环境保护的内容。</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.1.2 施工现场应在醒目位置设环境保护标识。</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.1.3 应对文物古迹、古树名木采取有效保护措施。</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.1.4 施工污水和生活污水不得直接排入市政管道。</w:t>
            </w:r>
          </w:p>
        </w:tc>
        <w:tc>
          <w:tcPr>
            <w:tcW w:w="129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.1.5 在地下水超采地区和沿海地区不得开采地下水作为施工用水。</w:t>
            </w:r>
          </w:p>
        </w:tc>
        <w:tc>
          <w:tcPr>
            <w:tcW w:w="129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28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.2.1 资源保护符合应下列规定：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采取基坑封闭降水措施。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 xml:space="preserve"> 危险品、化学品存放处及污物排放采取隔离措施。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.2.2 扬尘控制应符合下列规定：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现场建立洒水清扫制度，配备洒水设备，并有专人负责。</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对施工道路、裸露土体和集中堆放的土方采取抑尘措施。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3施工垃圾和生活垃圾设置存放点并按规定及时清运。</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运送土方、渣土等易产生扬尘的车辆采取封闭或遮盖措施。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现场进出口设洗车槽和高压水枪，进出现场车辆保持清洁。</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6 易飞扬和细颗粒建筑材料封闭存放，余料及时回收。</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7 易产生扬尘的施工作业采取遮挡、抑尘等措施。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8 拆除爆破作业有降尘措施。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9 控制现场作业区扬尘及噪音应符合地方的管理规定。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.2.3 有害气体排放控制应符合下列规定：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进出场车辆及机械设备废气排放符合相关要求。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不使用煤炭作为现场生活的燃料。</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电焊烟气的排放符合现行国家标准《大气污染物综合排放标准》GB 16297的规定。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不在现场燃烧废弃物。</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.2.4 工程垃圾处置应符合下列规定：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取得当地相关部门余泥渣土（垃圾）排放许可。</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工程垃圾分类收集，集中堆放和运出。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有毒有害废物分类率达到100%。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工程垃圾回收利用率达到30%。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采用碎石和土石方类等用作地基和路基回填材料。</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.2.5 现场生活垃圾处置应符合下列规定：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废电池、废墨盒等有毒有害的废弃物封闭回收，不与其它垃圾混弃。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垃圾分类应执行当地建设主管部门管理规定，生活垃圾定期清运。</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.2.6 污水排放应符合下列规定：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污水、雨水分流排放。</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现场道路和材料堆放场地周边设排水沟。</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现场设置污水沉淀池，污水经处理后排入市政污水管道。</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现场厕所设置化粪池，化粪池污水排至市政污水管道，并定期清理。</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工地厨房设隔油池，隔油池定期清理。</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 xml:space="preserve">.2.7 光污染应符合下列规定： </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夜间电焊作业采取挡光措施；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工地设置大型照明灯具时，有防止强光线外泄的措施。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.2.8 噪音控制应符合下列规定：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采用低噪音设备和工艺进行施工。</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产生噪声的施工机械设置在远离施工现场办公区、生活区和周边住宅区的地方，或采取降噪隔声措施。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混凝土输送泵、电锯等设备有隔音措施。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施工噪音排放符合国家与广东省有关施工禁令时间的规定。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夜间施工噪声声强值符合国家有关规定。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6 吊装作业指挥使用对讲机传达指令。</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.2.9 施工中土方的开挖量和回填量应预先计算平衡。开挖的土方应合理回填利用。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.3.1 施工现场设置隔声设施。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.3.2 现场设置可移动环保厕所，并定期清运、消毒。</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.3.3 现场设噪声监测点，并实施动态监测。</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.3.4 现场采用喷雾淋水装置降尘。</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.3.5 工程垃圾回收利用率达到50%。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一般项折算得分：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454" w:hRule="atLeast"/>
          <w:jc w:val="center"/>
        </w:trPr>
        <w:tc>
          <w:tcPr>
            <w:tcW w:w="10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优选项加分：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bl>
    <w:p>
      <w:pPr>
        <w:rPr>
          <w:rFonts w:ascii="华文中宋" w:hAnsi="华文中宋" w:eastAsia="华文中宋" w:cs="华文中宋"/>
          <w:sz w:val="22"/>
          <w:szCs w:val="22"/>
        </w:rPr>
      </w:pPr>
    </w:p>
    <w:p>
      <w:pPr>
        <w:widowControl/>
        <w:jc w:val="left"/>
        <w:rPr>
          <w:rFonts w:ascii="华文中宋" w:hAnsi="华文中宋" w:eastAsia="华文中宋" w:cs="华文中宋"/>
          <w:sz w:val="22"/>
          <w:szCs w:val="22"/>
        </w:rPr>
      </w:pPr>
      <w:r>
        <w:rPr>
          <w:rFonts w:ascii="华文中宋" w:hAnsi="华文中宋" w:eastAsia="华文中宋" w:cs="华文中宋"/>
          <w:sz w:val="22"/>
          <w:szCs w:val="22"/>
        </w:rPr>
        <w:br w:type="page"/>
      </w:r>
    </w:p>
    <w:p>
      <w:pPr>
        <w:outlineLvl w:val="0"/>
        <w:rPr>
          <w:rFonts w:ascii="华文中宋" w:hAnsi="华文中宋" w:eastAsia="华文中宋" w:cs="华文中宋"/>
          <w:sz w:val="22"/>
          <w:szCs w:val="22"/>
        </w:rPr>
      </w:pPr>
      <w:r>
        <w:rPr>
          <w:rFonts w:ascii="华文中宋" w:hAnsi="华文中宋" w:eastAsia="华文中宋" w:cs="华文中宋"/>
          <w:sz w:val="22"/>
          <w:szCs w:val="22"/>
        </w:rPr>
        <w:t>NO:GDSZ-3</w:t>
      </w:r>
    </w:p>
    <w:p>
      <w:pPr>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绿色施工要素评价表（节材与材料资源利用）</w:t>
      </w:r>
    </w:p>
    <w:tbl>
      <w:tblPr>
        <w:tblStyle w:val="9"/>
        <w:tblW w:w="10095" w:type="dxa"/>
        <w:jc w:val="center"/>
        <w:tblLayout w:type="autofit"/>
        <w:tblCellMar>
          <w:top w:w="0" w:type="dxa"/>
          <w:left w:w="0" w:type="dxa"/>
          <w:bottom w:w="0" w:type="dxa"/>
          <w:right w:w="0" w:type="dxa"/>
        </w:tblCellMar>
      </w:tblPr>
      <w:tblGrid>
        <w:gridCol w:w="1066"/>
        <w:gridCol w:w="6439"/>
        <w:gridCol w:w="1286"/>
        <w:gridCol w:w="9"/>
        <w:gridCol w:w="1295"/>
      </w:tblGrid>
      <w:tr>
        <w:trPr>
          <w:trHeight w:val="20"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0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val="en-US" w:eastAsia="zh-CN"/>
              </w:rPr>
              <w:t>3</w:t>
            </w:r>
            <w:r>
              <w:rPr>
                <w:rFonts w:hint="eastAsia" w:ascii="仿宋" w:hAnsi="仿宋" w:eastAsia="仿宋" w:cs="宋体"/>
                <w:b/>
                <w:color w:val="000000"/>
                <w:kern w:val="0"/>
                <w:szCs w:val="21"/>
              </w:rPr>
              <w:t xml:space="preserve"> 节材与材料资源利用评价指标</w:t>
            </w:r>
          </w:p>
        </w:tc>
      </w:tr>
      <w:tr>
        <w:tblPrEx>
          <w:tblCellMar>
            <w:top w:w="0" w:type="dxa"/>
            <w:left w:w="0" w:type="dxa"/>
            <w:bottom w:w="0" w:type="dxa"/>
            <w:right w:w="0" w:type="dxa"/>
          </w:tblCellMar>
        </w:tblPrEx>
        <w:trPr>
          <w:trHeight w:val="2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4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.1.1 应有健全的机械保养、限额领料、工程垃圾再生利用等制度并有相关实施记录。</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.1.2 应根据就地取材的原则进行材料选择并有实施记录。</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.1.3 应计算工程主材的计划用量和实际用量并有相关记录。</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.2.1 材料的选择应符合下列规定：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选用绿色、环保的施工材料。</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临建设施采用可拆迁、可回收材料。</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利用粉煤灰、矿渣、外加剂等新材料降低混凝土及砂浆中的水泥用量；粉煤灰、矿渣、外加剂等新材料掺量按供货单位推荐掺量、使用要求、施工条件、原材料等因素通过试验确定。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现场主要采购当地销售的建筑材料，缩短运输距离。</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.2.2 材料的节约应符合下列规定：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面材、块材鑲贴或安装预先总体排版。</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优化线材下料方案。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采用新型的模板支撑体系及模板材料。</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采用当地建设主管部门推行使用的脚手架和支撑体系。</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控制主体结构的平整度和垂直度，误差符合相关施工质量验收规范的要求。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6 工程应用装配式施工，机电安装采用BIM优化设计。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7 工程主材的损耗率不超过2.5%。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8 现场模板的周转次数不少于5次。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.2.3 资源再生利用应符合下列规定：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现场办公用纸分类摆放，纸张两面使用，废纸回收。</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建筑余料合理使用。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科学利用板材、块材、短钢筋等下脚料和撒落混凝土及砂浆。</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临建设施充分利用既有建筑物和市政设施。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6.2.4 施工组织设计中有合理的施工分区。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.3.1 采用工具化、定型化、装配化、标准化的施工材料和设备。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.3.2 建筑材料、设备的包装物全部回收。</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.3.3 工程主材的损耗率不超过1%。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.3.4 采用高强钢筋。</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rPr>
              <w:t>.3.5 采用预拌砂浆。</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一般项折算得分：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优选项加分：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20" w:hRule="atLeast"/>
          <w:jc w:val="center"/>
        </w:trPr>
        <w:tc>
          <w:tcPr>
            <w:tcW w:w="10095"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0"/>
                <w:szCs w:val="20"/>
              </w:rPr>
            </w:pPr>
          </w:p>
        </w:tc>
      </w:tr>
    </w:tbl>
    <w:p>
      <w:pPr>
        <w:outlineLvl w:val="0"/>
        <w:rPr>
          <w:rFonts w:ascii="华文中宋" w:hAnsi="华文中宋" w:eastAsia="华文中宋" w:cs="华文中宋"/>
          <w:sz w:val="22"/>
          <w:szCs w:val="22"/>
        </w:rPr>
      </w:pPr>
    </w:p>
    <w:p>
      <w:pPr>
        <w:outlineLvl w:val="0"/>
        <w:rPr>
          <w:rFonts w:ascii="华文中宋" w:hAnsi="华文中宋" w:eastAsia="华文中宋" w:cs="华文中宋"/>
          <w:sz w:val="22"/>
          <w:szCs w:val="22"/>
        </w:rPr>
      </w:pPr>
      <w:r>
        <w:rPr>
          <w:rFonts w:ascii="华文中宋" w:hAnsi="华文中宋" w:eastAsia="华文中宋" w:cs="华文中宋"/>
          <w:sz w:val="22"/>
          <w:szCs w:val="22"/>
        </w:rPr>
        <w:t>NO：GDSZ-4</w:t>
      </w:r>
    </w:p>
    <w:p>
      <w:pPr>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绿色施工要素评价表（节水与水资源利用）</w:t>
      </w:r>
    </w:p>
    <w:tbl>
      <w:tblPr>
        <w:tblStyle w:val="9"/>
        <w:tblW w:w="10095" w:type="dxa"/>
        <w:jc w:val="center"/>
        <w:tblLayout w:type="autofit"/>
        <w:tblCellMar>
          <w:top w:w="0" w:type="dxa"/>
          <w:left w:w="0" w:type="dxa"/>
          <w:bottom w:w="0" w:type="dxa"/>
          <w:right w:w="0" w:type="dxa"/>
        </w:tblCellMar>
      </w:tblPr>
      <w:tblGrid>
        <w:gridCol w:w="1079"/>
        <w:gridCol w:w="6426"/>
        <w:gridCol w:w="1286"/>
        <w:gridCol w:w="9"/>
        <w:gridCol w:w="1295"/>
      </w:tblGrid>
      <w:tr>
        <w:tblPrEx>
          <w:tblCellMar>
            <w:top w:w="0" w:type="dxa"/>
            <w:left w:w="0" w:type="dxa"/>
            <w:bottom w:w="0" w:type="dxa"/>
            <w:right w:w="0" w:type="dxa"/>
          </w:tblCellMar>
        </w:tblPrEx>
        <w:trPr>
          <w:trHeight w:val="3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0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val="en-US" w:eastAsia="zh-CN"/>
              </w:rPr>
              <w:t>4</w:t>
            </w:r>
            <w:r>
              <w:rPr>
                <w:rFonts w:hint="eastAsia" w:ascii="仿宋" w:hAnsi="仿宋" w:eastAsia="仿宋" w:cs="宋体"/>
                <w:b/>
                <w:color w:val="000000"/>
                <w:kern w:val="0"/>
                <w:szCs w:val="21"/>
              </w:rPr>
              <w:t xml:space="preserve"> 节水与水资源利用评价指标</w:t>
            </w: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4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.1.1 签订分包或劳务合同时，应将节水指标纳入合同条款。</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.1.2 应有用水计量考核记录。</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.2.1 节约用水应符合下列规定：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施工现场供水管网设计合理。</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施工现场办公区、生活区的生活用水采用节水器具，节水器具配置率应达到100%。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施工现场对生活用水与工程用水分别计量。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施工中采用节水的施工工艺。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5 混凝土养护和砂浆搅拌用水合理并有节水措施。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6 管网和用水器具不渗漏。</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7 单位工程单位建筑面积的用水量控制在1m</w:t>
            </w:r>
            <w:r>
              <w:rPr>
                <w:rStyle w:val="13"/>
                <w:rFonts w:hint="default" w:ascii="仿宋" w:hAnsi="仿宋" w:eastAsia="仿宋"/>
              </w:rPr>
              <w:t>3</w:t>
            </w:r>
            <w:r>
              <w:rPr>
                <w:rStyle w:val="14"/>
                <w:rFonts w:hint="default" w:ascii="仿宋" w:hAnsi="仿宋" w:eastAsia="仿宋"/>
              </w:rPr>
              <w:t>/m</w:t>
            </w:r>
            <w:r>
              <w:rPr>
                <w:rStyle w:val="13"/>
                <w:rFonts w:hint="default" w:ascii="仿宋" w:hAnsi="仿宋" w:eastAsia="仿宋"/>
              </w:rPr>
              <w:t>2</w:t>
            </w:r>
            <w:r>
              <w:rPr>
                <w:rStyle w:val="14"/>
                <w:rFonts w:hint="default" w:ascii="仿宋" w:hAnsi="仿宋" w:eastAsia="仿宋"/>
              </w:rPr>
              <w:t>之内。</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.2.2 水资源的利用符合下列规定：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应用海绵城市工程措施，提倡雨水收集利用。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基坑降水储存使用。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冲洗现场机具、设备、车辆的用水设立循环用水装置。</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.3.1 施工现场建立水资源再利用的收集处理系统。</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.3.2 采用污水净化处理及再利用装置。</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.3.3 喷洒路面、绿化浇灌、冲洗车辆和机具不用自来水。</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.3.4 生活、生产污水处理后使用。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rPr>
              <w:t>.3.5 现场使用经检验合格的非传统水源。</w:t>
            </w:r>
          </w:p>
        </w:tc>
        <w:tc>
          <w:tcPr>
            <w:tcW w:w="12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一般项折算得分：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优选项加分：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1998" w:hRule="atLeast"/>
          <w:jc w:val="center"/>
        </w:trPr>
        <w:tc>
          <w:tcPr>
            <w:tcW w:w="10095"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0"/>
                <w:szCs w:val="20"/>
              </w:rPr>
            </w:pPr>
          </w:p>
        </w:tc>
      </w:tr>
    </w:tbl>
    <w:p>
      <w:pPr>
        <w:rPr>
          <w:rFonts w:ascii="华文中宋" w:hAnsi="华文中宋" w:eastAsia="华文中宋" w:cs="华文中宋"/>
          <w:sz w:val="22"/>
          <w:szCs w:val="22"/>
        </w:rPr>
      </w:pPr>
    </w:p>
    <w:p>
      <w:pPr>
        <w:rPr>
          <w:rFonts w:ascii="华文中宋" w:hAnsi="华文中宋" w:eastAsia="华文中宋" w:cs="华文中宋"/>
          <w:sz w:val="22"/>
          <w:szCs w:val="22"/>
        </w:rPr>
      </w:pPr>
      <w:r>
        <w:rPr>
          <w:rFonts w:ascii="华文中宋" w:hAnsi="华文中宋" w:eastAsia="华文中宋" w:cs="华文中宋"/>
          <w:sz w:val="22"/>
          <w:szCs w:val="22"/>
        </w:rPr>
        <w:t>NO:GDSZ-5</w:t>
      </w:r>
    </w:p>
    <w:p>
      <w:pPr>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绿色施工要素评价表（节能与能源利用）</w:t>
      </w:r>
    </w:p>
    <w:tbl>
      <w:tblPr>
        <w:tblStyle w:val="9"/>
        <w:tblW w:w="10095" w:type="dxa"/>
        <w:jc w:val="center"/>
        <w:tblLayout w:type="autofit"/>
        <w:tblCellMar>
          <w:top w:w="0" w:type="dxa"/>
          <w:left w:w="0" w:type="dxa"/>
          <w:bottom w:w="0" w:type="dxa"/>
          <w:right w:w="0" w:type="dxa"/>
        </w:tblCellMar>
      </w:tblPr>
      <w:tblGrid>
        <w:gridCol w:w="1079"/>
        <w:gridCol w:w="6578"/>
        <w:gridCol w:w="1134"/>
        <w:gridCol w:w="1304"/>
      </w:tblGrid>
      <w:tr>
        <w:trPr>
          <w:trHeight w:val="397"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val="en-US" w:eastAsia="zh-CN"/>
              </w:rPr>
              <w:t>5</w:t>
            </w:r>
            <w:r>
              <w:rPr>
                <w:rFonts w:hint="eastAsia" w:ascii="仿宋" w:hAnsi="仿宋" w:eastAsia="仿宋" w:cs="宋体"/>
                <w:b/>
                <w:color w:val="000000"/>
                <w:kern w:val="0"/>
                <w:szCs w:val="21"/>
              </w:rPr>
              <w:t xml:space="preserve"> 节能与能源利用评价指标</w:t>
            </w:r>
          </w:p>
        </w:tc>
      </w:tr>
      <w:tr>
        <w:tblPrEx>
          <w:tblCellMar>
            <w:top w:w="0" w:type="dxa"/>
            <w:left w:w="0" w:type="dxa"/>
            <w:bottom w:w="0" w:type="dxa"/>
            <w:right w:w="0" w:type="dxa"/>
          </w:tblCellMar>
        </w:tblPrEx>
        <w:trPr>
          <w:trHeight w:val="397"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.1.1 施工现场的用电必须装设电表，办公区、生活区和施工区用电应分别计量。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.1.2 对主要耗能施工设备应定期进行耗能计量核算。</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.1.3 禁止使用国家、行业和广东省政府明令淘汰的施工设备、机具和产品。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.2.1 临时用电设施符合下列规定：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采用节能型设施。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施工现场采用发电机供电系统应符合临时用电规定，设施配备合理。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施工现场照明设计符合行业标准《施工现场临时用电安全技术规范》JGJ 46的规定。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办公区和生活区节能照明灯具的数量不少于80％。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.2.2 机械设备应符合下列规定：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选择能源利用效率高的施工机械设备。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施工作业做到停工关机。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建立设备技术档案，定期进行设备维护、保养。</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施工机具资源共享。</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.2.3 临时设施应符合下列规定：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结合日照和风向等自然条件，合理采用自然采光、通风。</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采取窗帘、外窗遮阳等防晒措施。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使用热功性能达标的复合墙体和屋面板，顶棚采用吊顶。</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 xml:space="preserve">.2.4 材料运输应符合下列规定： </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建筑材料的选用要缩短运输距离。</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场内材料运输有减少二次搬运的措施。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 xml:space="preserve">.2.5 现场施工符合下列规定： </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合理安排施工工序和施工进度。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采用能耗少的施工技术和施工工艺。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尽量减少夜间作业时间。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.3.1 合理利用太阳能或其他可再生能源。</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.3.2 临时用电设备采用自动控制装置。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.3.3 照明采用声控、光控等自动照明控制。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.3.4 使用的施工设备和机具符合国家、行业有关节能、高效、环保的规定。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.3.5 功率因素不低于0.9。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.3.6 单位工程建筑面积的用电量控制在12kW</w:t>
            </w:r>
            <w:r>
              <w:rPr>
                <w:rFonts w:hint="eastAsia" w:ascii="微软雅黑" w:hAnsi="微软雅黑" w:eastAsia="微软雅黑" w:cs="微软雅黑"/>
                <w:color w:val="000000"/>
                <w:kern w:val="0"/>
                <w:szCs w:val="21"/>
              </w:rPr>
              <w:t>•</w:t>
            </w:r>
            <w:r>
              <w:rPr>
                <w:rFonts w:hint="eastAsia" w:ascii="仿宋" w:hAnsi="仿宋" w:eastAsia="仿宋" w:cs="宋体"/>
                <w:color w:val="000000"/>
                <w:kern w:val="0"/>
                <w:szCs w:val="21"/>
              </w:rPr>
              <w:t>h/m</w:t>
            </w:r>
            <w:r>
              <w:rPr>
                <w:rFonts w:hint="eastAsia" w:ascii="仿宋" w:hAnsi="仿宋" w:eastAsia="仿宋" w:cs="宋体"/>
                <w:color w:val="000000"/>
                <w:kern w:val="0"/>
                <w:szCs w:val="21"/>
                <w:vertAlign w:val="superscript"/>
              </w:rPr>
              <w:t>2</w:t>
            </w:r>
            <w:r>
              <w:rPr>
                <w:rFonts w:hint="eastAsia" w:ascii="仿宋" w:hAnsi="仿宋" w:eastAsia="仿宋" w:cs="宋体"/>
                <w:color w:val="000000"/>
                <w:kern w:val="0"/>
                <w:szCs w:val="21"/>
              </w:rPr>
              <w:t>之内。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一般项折算得分：</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397" w:hRule="atLeast"/>
          <w:jc w:val="center"/>
        </w:trPr>
        <w:tc>
          <w:tcPr>
            <w:tcW w:w="10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优选项加分：</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bl>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p>
    <w:p>
      <w:pPr>
        <w:spacing w:line="480" w:lineRule="exact"/>
        <w:outlineLvl w:val="0"/>
        <w:rPr>
          <w:rFonts w:ascii="华文中宋" w:hAnsi="华文中宋" w:eastAsia="华文中宋" w:cs="华文中宋"/>
          <w:sz w:val="22"/>
          <w:szCs w:val="22"/>
        </w:rPr>
      </w:pPr>
      <w:r>
        <w:rPr>
          <w:rFonts w:ascii="华文中宋" w:hAnsi="华文中宋" w:eastAsia="华文中宋" w:cs="华文中宋"/>
          <w:sz w:val="22"/>
          <w:szCs w:val="22"/>
        </w:rPr>
        <w:t>NO:GDSZ-6</w:t>
      </w:r>
    </w:p>
    <w:p>
      <w:pPr>
        <w:spacing w:line="480" w:lineRule="exact"/>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绿色施工要素评价表（节地与土地资源保护）</w:t>
      </w:r>
    </w:p>
    <w:tbl>
      <w:tblPr>
        <w:tblStyle w:val="9"/>
        <w:tblW w:w="10095" w:type="dxa"/>
        <w:jc w:val="center"/>
        <w:tblLayout w:type="autofit"/>
        <w:tblCellMar>
          <w:top w:w="0" w:type="dxa"/>
          <w:left w:w="0" w:type="dxa"/>
          <w:bottom w:w="0" w:type="dxa"/>
          <w:right w:w="0" w:type="dxa"/>
        </w:tblCellMar>
      </w:tblPr>
      <w:tblGrid>
        <w:gridCol w:w="1079"/>
        <w:gridCol w:w="6426"/>
        <w:gridCol w:w="1286"/>
        <w:gridCol w:w="9"/>
        <w:gridCol w:w="1295"/>
      </w:tblGrid>
      <w:tr>
        <w:tblPrEx>
          <w:tblCellMar>
            <w:top w:w="0" w:type="dxa"/>
            <w:left w:w="0" w:type="dxa"/>
            <w:bottom w:w="0" w:type="dxa"/>
            <w:right w:w="0" w:type="dxa"/>
          </w:tblCellMar>
        </w:tblPrEx>
        <w:trPr>
          <w:trHeight w:val="3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b/>
                <w:color w:val="000000"/>
                <w:szCs w:val="21"/>
              </w:rPr>
            </w:pPr>
            <w:r>
              <w:rPr>
                <w:rFonts w:hint="eastAsia" w:ascii="仿宋" w:hAnsi="仿宋" w:eastAsia="仿宋" w:cs="宋体"/>
                <w:b/>
                <w:color w:val="000000"/>
                <w:kern w:val="0"/>
                <w:szCs w:val="21"/>
              </w:rPr>
              <w:t>评价指标</w:t>
            </w:r>
          </w:p>
        </w:tc>
        <w:tc>
          <w:tcPr>
            <w:tcW w:w="90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 xml:space="preserve"> 节地与土地资源保护评价指标</w:t>
            </w: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评价结论（是否符合）</w:t>
            </w:r>
          </w:p>
        </w:tc>
      </w:tr>
      <w:tr>
        <w:tblPrEx>
          <w:tblCellMar>
            <w:top w:w="0" w:type="dxa"/>
            <w:left w:w="0" w:type="dxa"/>
            <w:bottom w:w="0" w:type="dxa"/>
            <w:right w:w="0" w:type="dxa"/>
          </w:tblCellMar>
        </w:tblPrEx>
        <w:trPr>
          <w:trHeight w:val="360" w:hRule="atLeast"/>
          <w:jc w:val="center"/>
        </w:trPr>
        <w:tc>
          <w:tcPr>
            <w:tcW w:w="10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64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符合</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不符合</w:t>
            </w: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.1.1 施工临时用地应在审批用地范围，并合理进行平面布局。</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765"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.1.2 施工单位应充分了解施工现场及毗邻区域内人文景观保护要求、工程地质情况及基础设施管线分布情况，制订相应保护措施，并应报请相关方核准。</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.1.3 施工场地布置应合理并应实施动态管理。</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一般项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标准编号及标准要求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应得分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实得分</w:t>
            </w: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.2.1 节约用地应符合下列规定：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施工总平面布置紧凑，并尽量减少占地。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根据现场条件，合理设计场内交通道路。</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施工现场临时道路布置宜与原有及永久道路兼顾考虑。</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4 有采取减少现场临时占地的措施。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.2.2 保护用地应符合下列规定：</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1 有采取防止水土流失的措施。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2 取土、弃土在规定场所进行。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3 施工后尽快恢复损坏的植被。</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优选项</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.3.1 临时办公和生活用房采用多层轻钢活动板房及其他可重复使用的装配式结构。</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285"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.3.2 利用原有设施作为现场临时设施。</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1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.3.3 保护施工用地范围内原有植被，结合建筑场地的永久绿化进行场内绿化。</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.3.4 合规利用已完成结构作为办公场地或材料堆场。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.3.5 钢筋加工配送化，构件制作工厂化。</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6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.3.6 职工宿舍满足2m</w:t>
            </w:r>
            <w:r>
              <w:rPr>
                <w:rFonts w:hint="eastAsia" w:ascii="仿宋" w:hAnsi="仿宋" w:eastAsia="仿宋" w:cs="宋体"/>
                <w:color w:val="000000"/>
                <w:kern w:val="0"/>
                <w:szCs w:val="21"/>
                <w:vertAlign w:val="superscript"/>
              </w:rPr>
              <w:t>2</w:t>
            </w:r>
            <w:r>
              <w:rPr>
                <w:rFonts w:hint="eastAsia" w:ascii="仿宋" w:hAnsi="仿宋" w:eastAsia="仿宋" w:cs="宋体"/>
                <w:color w:val="000000"/>
                <w:kern w:val="0"/>
                <w:szCs w:val="21"/>
              </w:rPr>
              <w:t>/人的使用面积要求。</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评价结果</w:t>
            </w: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控制项：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一般项折算得分：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优选项加分：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36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宋体"/>
                <w:color w:val="000000"/>
                <w:szCs w:val="21"/>
              </w:rPr>
            </w:pPr>
          </w:p>
        </w:tc>
        <w:tc>
          <w:tcPr>
            <w:tcW w:w="6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要素得分：</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p>
        </w:tc>
      </w:tr>
    </w:tbl>
    <w:p>
      <w:pPr>
        <w:ind w:right="-512" w:rightChars="-244"/>
        <w:jc w:val="center"/>
        <w:rPr>
          <w:rFonts w:ascii="方正小标宋_GBK" w:hAnsi="华文中宋" w:eastAsia="方正小标宋_GBK" w:cs="华文中宋"/>
          <w:sz w:val="32"/>
          <w:szCs w:val="32"/>
        </w:rPr>
      </w:pPr>
    </w:p>
    <w:p>
      <w:pPr>
        <w:ind w:right="-512" w:rightChars="-244"/>
        <w:jc w:val="center"/>
        <w:rPr>
          <w:rFonts w:ascii="方正小标宋_GBK" w:hAnsi="华文中宋" w:eastAsia="方正小标宋_GBK" w:cs="华文中宋"/>
          <w:sz w:val="32"/>
          <w:szCs w:val="32"/>
        </w:rPr>
      </w:pPr>
    </w:p>
    <w:p>
      <w:pPr>
        <w:ind w:right="-512" w:rightChars="-244"/>
        <w:jc w:val="center"/>
        <w:rPr>
          <w:rFonts w:ascii="方正小标宋_GBK" w:hAnsi="华文中宋" w:eastAsia="方正小标宋_GBK" w:cs="华文中宋"/>
          <w:sz w:val="32"/>
          <w:szCs w:val="32"/>
        </w:rPr>
      </w:pPr>
    </w:p>
    <w:p>
      <w:pPr>
        <w:ind w:right="-512" w:rightChars="-244"/>
        <w:jc w:val="center"/>
        <w:rPr>
          <w:rFonts w:ascii="方正小标宋_GBK" w:hAnsi="华文中宋" w:eastAsia="方正小标宋_GBK" w:cs="华文中宋"/>
          <w:sz w:val="32"/>
          <w:szCs w:val="32"/>
        </w:rPr>
      </w:pPr>
    </w:p>
    <w:p>
      <w:pPr>
        <w:ind w:right="-512" w:rightChars="-244"/>
        <w:jc w:val="center"/>
        <w:rPr>
          <w:rFonts w:ascii="方正小标宋_GBK" w:hAnsi="华文中宋" w:eastAsia="方正小标宋_GBK" w:cs="华文中宋"/>
          <w:sz w:val="32"/>
          <w:szCs w:val="32"/>
        </w:rPr>
      </w:pPr>
    </w:p>
    <w:p>
      <w:pPr>
        <w:ind w:right="-512" w:rightChars="-244"/>
        <w:jc w:val="center"/>
        <w:rPr>
          <w:rFonts w:ascii="方正小标宋_GBK" w:hAnsi="华文中宋" w:eastAsia="方正小标宋_GBK" w:cs="华文中宋"/>
          <w:sz w:val="32"/>
          <w:szCs w:val="32"/>
        </w:rPr>
      </w:pPr>
      <w:r>
        <w:rPr>
          <w:rFonts w:hint="eastAsia" w:ascii="方正小标宋_GBK" w:hAnsi="华文中宋" w:eastAsia="方正小标宋_GBK" w:cs="华文中宋"/>
          <w:sz w:val="32"/>
          <w:szCs w:val="32"/>
        </w:rPr>
        <w:t>绿色施工管理评价得分</w:t>
      </w:r>
    </w:p>
    <w:tbl>
      <w:tblPr>
        <w:tblStyle w:val="9"/>
        <w:tblW w:w="9650" w:type="dxa"/>
        <w:jc w:val="center"/>
        <w:tblLayout w:type="fixed"/>
        <w:tblCellMar>
          <w:top w:w="0" w:type="dxa"/>
          <w:left w:w="0" w:type="dxa"/>
          <w:bottom w:w="0" w:type="dxa"/>
          <w:right w:w="0" w:type="dxa"/>
        </w:tblCellMar>
      </w:tblPr>
      <w:tblGrid>
        <w:gridCol w:w="2716"/>
        <w:gridCol w:w="3834"/>
        <w:gridCol w:w="1533"/>
        <w:gridCol w:w="1567"/>
      </w:tblGrid>
      <w:tr>
        <w:tblPrEx>
          <w:tblCellMar>
            <w:top w:w="0" w:type="dxa"/>
            <w:left w:w="0" w:type="dxa"/>
            <w:bottom w:w="0" w:type="dxa"/>
            <w:right w:w="0" w:type="dxa"/>
          </w:tblCellMar>
        </w:tblPrEx>
        <w:trPr>
          <w:trHeight w:val="892"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sz w:val="24"/>
              </w:rPr>
              <w:t>工程名称</w:t>
            </w:r>
          </w:p>
        </w:tc>
        <w:tc>
          <w:tcPr>
            <w:tcW w:w="6934"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Cs w:val="21"/>
              </w:rPr>
            </w:pPr>
          </w:p>
        </w:tc>
      </w:tr>
      <w:tr>
        <w:tblPrEx>
          <w:tblCellMar>
            <w:top w:w="0" w:type="dxa"/>
            <w:left w:w="0" w:type="dxa"/>
            <w:bottom w:w="0" w:type="dxa"/>
            <w:right w:w="0" w:type="dxa"/>
          </w:tblCellMar>
        </w:tblPrEx>
        <w:trPr>
          <w:trHeight w:val="877"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sz w:val="24"/>
              </w:rPr>
              <w:t>施工单位</w:t>
            </w:r>
          </w:p>
        </w:tc>
        <w:tc>
          <w:tcPr>
            <w:tcW w:w="69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kern w:val="0"/>
                <w:sz w:val="24"/>
              </w:rPr>
            </w:pPr>
          </w:p>
        </w:tc>
      </w:tr>
      <w:tr>
        <w:tblPrEx>
          <w:tblCellMar>
            <w:top w:w="0" w:type="dxa"/>
            <w:left w:w="0" w:type="dxa"/>
            <w:bottom w:w="0" w:type="dxa"/>
            <w:right w:w="0" w:type="dxa"/>
          </w:tblCellMar>
        </w:tblPrEx>
        <w:trPr>
          <w:trHeight w:val="968"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评价要素</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要素评价得分</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权重系数</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得分×权重</w:t>
            </w: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绿色施工管理</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eastAsia="微软雅黑"/>
                <w:sz w:val="21"/>
                <w:szCs w:val="21"/>
                <w:lang w:eastAsia="zh-CN"/>
              </w:rPr>
            </w:pPr>
            <w:r>
              <w:rPr>
                <w:rFonts w:hint="eastAsia" w:ascii="微软雅黑" w:eastAsia="微软雅黑"/>
                <w:sz w:val="21"/>
                <w:szCs w:val="21"/>
                <w:lang w:eastAsia="zh-CN"/>
              </w:rPr>
              <w:t>按</w:t>
            </w:r>
            <w:r>
              <w:rPr>
                <w:rFonts w:hint="eastAsia" w:ascii="微软雅黑" w:eastAsia="微软雅黑"/>
                <w:sz w:val="21"/>
                <w:szCs w:val="21"/>
                <w:lang w:val="en-US" w:eastAsia="zh-CN"/>
              </w:rPr>
              <w:t>附件4</w:t>
            </w:r>
            <w:r>
              <w:rPr>
                <w:rFonts w:hint="eastAsia" w:ascii="微软雅黑" w:eastAsia="微软雅黑"/>
                <w:sz w:val="21"/>
                <w:szCs w:val="21"/>
                <w:lang w:eastAsia="zh-CN"/>
              </w:rPr>
              <w:t>对应取值</w:t>
            </w:r>
          </w:p>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环境保护</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节材与材料资源利用</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节水与水资源利用</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节能与能源利用</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节地与土地资源保护</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_GB2312"/>
                <w:color w:val="000000"/>
                <w:sz w:val="24"/>
              </w:rPr>
            </w:pPr>
          </w:p>
        </w:tc>
        <w:tc>
          <w:tcPr>
            <w:tcW w:w="15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r>
      <w:tr>
        <w:tblPrEx>
          <w:tblCellMar>
            <w:top w:w="0" w:type="dxa"/>
            <w:left w:w="0" w:type="dxa"/>
            <w:bottom w:w="0" w:type="dxa"/>
            <w:right w:w="0" w:type="dxa"/>
          </w:tblCellMar>
        </w:tblPrEx>
        <w:trPr>
          <w:trHeight w:val="1134" w:hRule="atLeas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得分</w:t>
            </w:r>
          </w:p>
        </w:tc>
        <w:tc>
          <w:tcPr>
            <w:tcW w:w="69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color w:val="000000"/>
                <w:sz w:val="24"/>
              </w:rPr>
            </w:pPr>
          </w:p>
        </w:tc>
      </w:tr>
    </w:tbl>
    <w:p>
      <w:pPr>
        <w:widowControl/>
        <w:jc w:val="left"/>
        <w:rPr>
          <w:rFonts w:ascii="华文中宋" w:hAnsi="华文中宋" w:eastAsia="华文中宋" w:cs="华文中宋"/>
          <w:sz w:val="32"/>
          <w:szCs w:val="32"/>
        </w:rPr>
      </w:pPr>
    </w:p>
    <w:sectPr>
      <w:footerReference r:id="rId3" w:type="default"/>
      <w:pgSz w:w="11906" w:h="16838"/>
      <w:pgMar w:top="1038" w:right="1474" w:bottom="720" w:left="1474" w:header="851" w:footer="113"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414A2C6-46E1-4AEC-BD4F-D1AAAF43BC18}"/>
  </w:font>
  <w:font w:name="方正小标宋_GBK">
    <w:panose1 w:val="02000000000000000000"/>
    <w:charset w:val="86"/>
    <w:family w:val="script"/>
    <w:pitch w:val="default"/>
    <w:sig w:usb0="A00002BF" w:usb1="38CF7CFA" w:usb2="00082016" w:usb3="00000000" w:csb0="00040001" w:csb1="00000000"/>
    <w:embedRegular r:id="rId2" w:fontKey="{38C9A492-22EE-472C-A324-179FEA42CF03}"/>
  </w:font>
  <w:font w:name="华文中宋">
    <w:panose1 w:val="02010600040101010101"/>
    <w:charset w:val="86"/>
    <w:family w:val="auto"/>
    <w:pitch w:val="default"/>
    <w:sig w:usb0="00000287" w:usb1="080F0000" w:usb2="00000000" w:usb3="00000000" w:csb0="0004009F" w:csb1="DFD70000"/>
    <w:embedRegular r:id="rId3" w:fontKey="{C7A7AEC9-4DC3-48E2-AA20-3A33621D3FEA}"/>
  </w:font>
  <w:font w:name="微软雅黑">
    <w:panose1 w:val="020B0503020204020204"/>
    <w:charset w:val="86"/>
    <w:family w:val="swiss"/>
    <w:pitch w:val="default"/>
    <w:sig w:usb0="80000287" w:usb1="2ACF3C50" w:usb2="00000016" w:usb3="00000000" w:csb0="0004001F" w:csb1="00000000"/>
    <w:embedRegular r:id="rId4" w:fontKey="{25E46EB2-0E96-4726-8D35-79439C5EF9CE}"/>
  </w:font>
  <w:font w:name="仿宋_GB2312">
    <w:panose1 w:val="02010609030101010101"/>
    <w:charset w:val="86"/>
    <w:family w:val="modern"/>
    <w:pitch w:val="default"/>
    <w:sig w:usb0="00000001" w:usb1="080E0000" w:usb2="00000000" w:usb3="00000000" w:csb0="00040000" w:csb1="00000000"/>
    <w:embedRegular r:id="rId5" w:fontKey="{17E828DE-4E3E-477D-B2D0-F7651CC7AF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973990"/>
      <w:docPartObj>
        <w:docPartGallery w:val="autotext"/>
      </w:docPartObj>
    </w:sdtPr>
    <w:sdtContent>
      <w:sdt>
        <w:sdtPr>
          <w:id w:val="1728636285"/>
          <w:docPartObj>
            <w:docPartGallery w:val="autotext"/>
          </w:docPartObj>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lYTZkMjM5MDQyOWQ4YzRlZGQ4MWVmN2VjMDVlOWYifQ=="/>
  </w:docVars>
  <w:rsids>
    <w:rsidRoot w:val="35DB4252"/>
    <w:rsid w:val="00013920"/>
    <w:rsid w:val="00040E25"/>
    <w:rsid w:val="00050EA9"/>
    <w:rsid w:val="00081D69"/>
    <w:rsid w:val="00095C59"/>
    <w:rsid w:val="000B1DCC"/>
    <w:rsid w:val="000E24C2"/>
    <w:rsid w:val="000F105F"/>
    <w:rsid w:val="000F3C13"/>
    <w:rsid w:val="00140E67"/>
    <w:rsid w:val="001564DE"/>
    <w:rsid w:val="00177537"/>
    <w:rsid w:val="0019109B"/>
    <w:rsid w:val="00195864"/>
    <w:rsid w:val="001A6870"/>
    <w:rsid w:val="001C5C10"/>
    <w:rsid w:val="001D34F0"/>
    <w:rsid w:val="00227D6E"/>
    <w:rsid w:val="00273848"/>
    <w:rsid w:val="002750B1"/>
    <w:rsid w:val="002830AD"/>
    <w:rsid w:val="002B3822"/>
    <w:rsid w:val="002B420B"/>
    <w:rsid w:val="002C1994"/>
    <w:rsid w:val="00315D7B"/>
    <w:rsid w:val="003228C0"/>
    <w:rsid w:val="00326FA6"/>
    <w:rsid w:val="00353D6A"/>
    <w:rsid w:val="0037350E"/>
    <w:rsid w:val="00374612"/>
    <w:rsid w:val="003C508A"/>
    <w:rsid w:val="003D6F22"/>
    <w:rsid w:val="003E258C"/>
    <w:rsid w:val="003E5883"/>
    <w:rsid w:val="0044276A"/>
    <w:rsid w:val="00471FD0"/>
    <w:rsid w:val="00482E3A"/>
    <w:rsid w:val="004B168B"/>
    <w:rsid w:val="004C0533"/>
    <w:rsid w:val="00502BBD"/>
    <w:rsid w:val="0052568B"/>
    <w:rsid w:val="00553889"/>
    <w:rsid w:val="00585637"/>
    <w:rsid w:val="00596613"/>
    <w:rsid w:val="005C030E"/>
    <w:rsid w:val="005F0C60"/>
    <w:rsid w:val="005F2FAC"/>
    <w:rsid w:val="005F7575"/>
    <w:rsid w:val="00631690"/>
    <w:rsid w:val="00642AB5"/>
    <w:rsid w:val="0068658B"/>
    <w:rsid w:val="00693863"/>
    <w:rsid w:val="006A53B0"/>
    <w:rsid w:val="006B0A70"/>
    <w:rsid w:val="006C14DB"/>
    <w:rsid w:val="006D2F9B"/>
    <w:rsid w:val="006D3D2F"/>
    <w:rsid w:val="006E3C62"/>
    <w:rsid w:val="007209DD"/>
    <w:rsid w:val="00735A2B"/>
    <w:rsid w:val="00752947"/>
    <w:rsid w:val="0075453D"/>
    <w:rsid w:val="007551B3"/>
    <w:rsid w:val="0078478B"/>
    <w:rsid w:val="007963EE"/>
    <w:rsid w:val="007C5EA9"/>
    <w:rsid w:val="007E19FC"/>
    <w:rsid w:val="007E4D9D"/>
    <w:rsid w:val="00834360"/>
    <w:rsid w:val="008A0790"/>
    <w:rsid w:val="008A30A1"/>
    <w:rsid w:val="008A7D63"/>
    <w:rsid w:val="008D65A9"/>
    <w:rsid w:val="008E5222"/>
    <w:rsid w:val="00954F11"/>
    <w:rsid w:val="00971FAE"/>
    <w:rsid w:val="009B6C58"/>
    <w:rsid w:val="00A009A9"/>
    <w:rsid w:val="00A27C44"/>
    <w:rsid w:val="00A37039"/>
    <w:rsid w:val="00A65CCC"/>
    <w:rsid w:val="00A719DA"/>
    <w:rsid w:val="00A7716E"/>
    <w:rsid w:val="00AC009E"/>
    <w:rsid w:val="00AC3F2A"/>
    <w:rsid w:val="00AE2ED9"/>
    <w:rsid w:val="00AE78F8"/>
    <w:rsid w:val="00B623D9"/>
    <w:rsid w:val="00B673EA"/>
    <w:rsid w:val="00B86F11"/>
    <w:rsid w:val="00B90AF8"/>
    <w:rsid w:val="00B96580"/>
    <w:rsid w:val="00BA156F"/>
    <w:rsid w:val="00BB2331"/>
    <w:rsid w:val="00BF336D"/>
    <w:rsid w:val="00C17238"/>
    <w:rsid w:val="00CC318E"/>
    <w:rsid w:val="00CE3670"/>
    <w:rsid w:val="00D56524"/>
    <w:rsid w:val="00D92C31"/>
    <w:rsid w:val="00DA7CC3"/>
    <w:rsid w:val="00DB34FA"/>
    <w:rsid w:val="00DD471F"/>
    <w:rsid w:val="00DF6035"/>
    <w:rsid w:val="00E009C1"/>
    <w:rsid w:val="00E10DD9"/>
    <w:rsid w:val="00E12520"/>
    <w:rsid w:val="00E156B8"/>
    <w:rsid w:val="00E232B4"/>
    <w:rsid w:val="00E253D9"/>
    <w:rsid w:val="00E42750"/>
    <w:rsid w:val="00E57E77"/>
    <w:rsid w:val="00EB344C"/>
    <w:rsid w:val="00EC38AF"/>
    <w:rsid w:val="00F13ABD"/>
    <w:rsid w:val="00F40F24"/>
    <w:rsid w:val="00F458EF"/>
    <w:rsid w:val="00F53D1C"/>
    <w:rsid w:val="00F6172C"/>
    <w:rsid w:val="00F72933"/>
    <w:rsid w:val="00FA4838"/>
    <w:rsid w:val="00FB31DF"/>
    <w:rsid w:val="04CA65E2"/>
    <w:rsid w:val="075A1917"/>
    <w:rsid w:val="108D4F9F"/>
    <w:rsid w:val="14DF70EC"/>
    <w:rsid w:val="18C14466"/>
    <w:rsid w:val="1B844B30"/>
    <w:rsid w:val="35DB4252"/>
    <w:rsid w:val="3C893FCF"/>
    <w:rsid w:val="401D68BE"/>
    <w:rsid w:val="43C81D94"/>
    <w:rsid w:val="48002F74"/>
    <w:rsid w:val="562C5A65"/>
    <w:rsid w:val="5FEF75AD"/>
    <w:rsid w:val="620762AB"/>
    <w:rsid w:val="710134E7"/>
    <w:rsid w:val="71DC3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qFormat/>
    <w:uiPriority w:val="0"/>
    <w:rPr>
      <w:rFonts w:ascii="宋体" w:eastAsia="宋体"/>
      <w:sz w:val="18"/>
      <w:szCs w:val="18"/>
    </w:r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1"/>
    <w:qFormat/>
    <w:uiPriority w:val="0"/>
    <w:pPr>
      <w:spacing w:before="240" w:after="60" w:line="312" w:lineRule="auto"/>
      <w:jc w:val="center"/>
      <w:outlineLvl w:val="1"/>
    </w:pPr>
    <w:rPr>
      <w:b/>
      <w:bCs/>
      <w:kern w:val="28"/>
      <w:sz w:val="32"/>
      <w:szCs w:val="32"/>
    </w:rPr>
  </w:style>
  <w:style w:type="paragraph" w:styleId="8">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basedOn w:val="11"/>
    <w:qFormat/>
    <w:uiPriority w:val="0"/>
    <w:rPr>
      <w:rFonts w:hint="eastAsia" w:ascii="宋体" w:hAnsi="宋体" w:eastAsia="宋体" w:cs="宋体"/>
      <w:b/>
      <w:color w:val="000000"/>
      <w:sz w:val="20"/>
      <w:szCs w:val="20"/>
      <w:u w:val="none"/>
    </w:rPr>
  </w:style>
  <w:style w:type="character" w:customStyle="1" w:styleId="13">
    <w:name w:val="font51"/>
    <w:basedOn w:val="11"/>
    <w:qFormat/>
    <w:uiPriority w:val="0"/>
    <w:rPr>
      <w:rFonts w:hint="eastAsia" w:ascii="宋体" w:hAnsi="宋体" w:eastAsia="宋体" w:cs="宋体"/>
      <w:color w:val="000000"/>
      <w:sz w:val="21"/>
      <w:szCs w:val="21"/>
      <w:u w:val="none"/>
      <w:vertAlign w:val="superscript"/>
    </w:rPr>
  </w:style>
  <w:style w:type="character" w:customStyle="1" w:styleId="14">
    <w:name w:val="font11"/>
    <w:basedOn w:val="11"/>
    <w:qFormat/>
    <w:uiPriority w:val="0"/>
    <w:rPr>
      <w:rFonts w:hint="eastAsia" w:ascii="宋体" w:hAnsi="宋体" w:eastAsia="宋体" w:cs="宋体"/>
      <w:color w:val="000000"/>
      <w:sz w:val="21"/>
      <w:szCs w:val="21"/>
      <w:u w:val="none"/>
    </w:rPr>
  </w:style>
  <w:style w:type="character" w:customStyle="1" w:styleId="15">
    <w:name w:val="font01"/>
    <w:basedOn w:val="11"/>
    <w:qFormat/>
    <w:uiPriority w:val="0"/>
    <w:rPr>
      <w:rFonts w:hint="eastAsia" w:ascii="仿宋" w:hAnsi="仿宋" w:eastAsia="仿宋" w:cs="仿宋"/>
      <w:color w:val="000000"/>
      <w:sz w:val="20"/>
      <w:szCs w:val="20"/>
      <w:u w:val="none"/>
    </w:rPr>
  </w:style>
  <w:style w:type="character" w:customStyle="1" w:styleId="16">
    <w:name w:val="页眉 字符"/>
    <w:basedOn w:val="11"/>
    <w:link w:val="6"/>
    <w:qFormat/>
    <w:uiPriority w:val="99"/>
    <w:rPr>
      <w:rFonts w:asciiTheme="minorHAnsi" w:hAnsiTheme="minorHAnsi" w:eastAsiaTheme="minorEastAsia" w:cstheme="minorBidi"/>
      <w:kern w:val="2"/>
      <w:sz w:val="18"/>
      <w:szCs w:val="18"/>
    </w:rPr>
  </w:style>
  <w:style w:type="character" w:customStyle="1" w:styleId="17">
    <w:name w:val="页脚 字符"/>
    <w:basedOn w:val="11"/>
    <w:link w:val="5"/>
    <w:qFormat/>
    <w:uiPriority w:val="99"/>
    <w:rPr>
      <w:rFonts w:asciiTheme="minorHAnsi" w:hAnsiTheme="minorHAnsi" w:eastAsiaTheme="minorEastAsia" w:cstheme="minorBidi"/>
      <w:kern w:val="2"/>
      <w:sz w:val="18"/>
      <w:szCs w:val="18"/>
    </w:rPr>
  </w:style>
  <w:style w:type="character" w:customStyle="1" w:styleId="18">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9">
    <w:name w:val="文档结构图 字符"/>
    <w:basedOn w:val="11"/>
    <w:link w:val="3"/>
    <w:qFormat/>
    <w:uiPriority w:val="0"/>
    <w:rPr>
      <w:rFonts w:ascii="宋体" w:hAnsiTheme="minorHAnsi" w:cstheme="minorBidi"/>
      <w:kern w:val="2"/>
      <w:sz w:val="18"/>
      <w:szCs w:val="18"/>
    </w:rPr>
  </w:style>
  <w:style w:type="character" w:customStyle="1" w:styleId="20">
    <w:name w:val="标题 字符"/>
    <w:basedOn w:val="11"/>
    <w:link w:val="8"/>
    <w:qFormat/>
    <w:uiPriority w:val="0"/>
    <w:rPr>
      <w:rFonts w:asciiTheme="majorHAnsi" w:hAnsiTheme="majorHAnsi" w:eastAsiaTheme="majorEastAsia" w:cstheme="majorBidi"/>
      <w:b/>
      <w:bCs/>
      <w:kern w:val="2"/>
      <w:sz w:val="32"/>
      <w:szCs w:val="32"/>
    </w:rPr>
  </w:style>
  <w:style w:type="character" w:customStyle="1" w:styleId="21">
    <w:name w:val="副标题 字符"/>
    <w:basedOn w:val="11"/>
    <w:link w:val="7"/>
    <w:qFormat/>
    <w:uiPriority w:val="0"/>
    <w:rPr>
      <w:rFonts w:asciiTheme="minorHAnsi" w:hAnsiTheme="minorHAnsi" w:eastAsiaTheme="minorEastAsia" w:cstheme="minorBidi"/>
      <w:b/>
      <w:bCs/>
      <w:kern w:val="28"/>
      <w:sz w:val="32"/>
      <w:szCs w:val="32"/>
    </w:rPr>
  </w:style>
  <w:style w:type="character" w:customStyle="1" w:styleId="22">
    <w:name w:val="标题 2 字符"/>
    <w:basedOn w:val="11"/>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5232</Words>
  <Characters>5719</Characters>
  <Lines>51</Lines>
  <Paragraphs>14</Paragraphs>
  <TotalTime>53</TotalTime>
  <ScaleCrop>false</ScaleCrop>
  <LinksUpToDate>false</LinksUpToDate>
  <CharactersWithSpaces>6138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2021-02-05T06:28:00Z</dcterms:created>
  <dc:creator>小清新eda </dc:creator>
  <cp:lastModifiedBy>豆豆妈</cp:lastModifiedBy>
  <cp:lastPrinted>2021-06-15T06:38:00Z</cp:lastPrinted>
  <dcterms:modified xsi:type="dcterms:W3CDTF">2024-07-19T00:49:50Z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14CB57822B434B8EB5D2318C29BB73C5</vt:lpwstr>
  </property>
</Properties>
</file>